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3B1" w:rsidRPr="004005B3" w:rsidRDefault="003453B1" w:rsidP="003453B1">
      <w:pPr>
        <w:spacing w:after="0" w:line="240" w:lineRule="auto"/>
        <w:jc w:val="center"/>
        <w:rPr>
          <w:rFonts w:ascii="Times New Roman" w:hAnsi="Times New Roman"/>
          <w:b/>
          <w:sz w:val="26"/>
          <w:szCs w:val="26"/>
        </w:rPr>
      </w:pPr>
      <w:bookmarkStart w:id="0" w:name="_GoBack"/>
      <w:bookmarkEnd w:id="0"/>
    </w:p>
    <w:p w:rsidR="003453B1" w:rsidRPr="004005B3" w:rsidRDefault="003453B1" w:rsidP="003453B1">
      <w:pPr>
        <w:spacing w:after="0" w:line="240" w:lineRule="auto"/>
        <w:jc w:val="center"/>
        <w:rPr>
          <w:rFonts w:ascii="Times New Roman" w:hAnsi="Times New Roman"/>
          <w:b/>
          <w:sz w:val="26"/>
          <w:szCs w:val="26"/>
        </w:rPr>
      </w:pPr>
      <w:r w:rsidRPr="004005B3">
        <w:rPr>
          <w:rFonts w:ascii="Times New Roman" w:hAnsi="Times New Roman"/>
          <w:b/>
          <w:sz w:val="26"/>
          <w:szCs w:val="26"/>
        </w:rPr>
        <w:t>Contending Issues on Bank Taxable Profits, Loss and Bad Debt in the Nigerian Banking Sector: An Appraisal</w:t>
      </w:r>
    </w:p>
    <w:p w:rsidR="003453B1" w:rsidRPr="004005B3" w:rsidRDefault="003453B1" w:rsidP="003453B1">
      <w:pPr>
        <w:spacing w:after="0" w:line="240" w:lineRule="auto"/>
        <w:jc w:val="center"/>
        <w:rPr>
          <w:rFonts w:ascii="Times New Roman" w:hAnsi="Times New Roman"/>
          <w:b/>
          <w:sz w:val="26"/>
          <w:szCs w:val="26"/>
        </w:rPr>
      </w:pPr>
    </w:p>
    <w:p w:rsidR="003453B1" w:rsidRPr="004005B3" w:rsidRDefault="003453B1" w:rsidP="003453B1">
      <w:pPr>
        <w:spacing w:after="0" w:line="240" w:lineRule="auto"/>
        <w:jc w:val="center"/>
        <w:rPr>
          <w:rFonts w:ascii="Times New Roman" w:hAnsi="Times New Roman"/>
          <w:b/>
          <w:sz w:val="26"/>
          <w:szCs w:val="26"/>
          <w:u w:val="single"/>
        </w:rPr>
      </w:pPr>
      <w:r w:rsidRPr="004005B3">
        <w:rPr>
          <w:rFonts w:ascii="Times New Roman" w:hAnsi="Times New Roman"/>
          <w:b/>
          <w:sz w:val="26"/>
          <w:szCs w:val="26"/>
        </w:rPr>
        <w:t>Olokooba S.M</w:t>
      </w:r>
      <w:r w:rsidRPr="004005B3">
        <w:rPr>
          <w:rStyle w:val="FootnoteReference"/>
          <w:rFonts w:ascii="Times New Roman" w:hAnsi="Times New Roman"/>
          <w:b/>
          <w:sz w:val="26"/>
          <w:szCs w:val="26"/>
        </w:rPr>
        <w:footnoteReference w:customMarkFollows="1" w:id="1"/>
        <w:sym w:font="Symbol" w:char="F0B7"/>
      </w:r>
      <w:r w:rsidRPr="004005B3">
        <w:rPr>
          <w:rFonts w:ascii="Times New Roman" w:hAnsi="Times New Roman"/>
          <w:b/>
          <w:sz w:val="26"/>
          <w:szCs w:val="26"/>
          <w:u w:val="single"/>
        </w:rPr>
        <w:t xml:space="preserve"> </w:t>
      </w:r>
    </w:p>
    <w:p w:rsidR="003453B1" w:rsidRPr="004005B3" w:rsidRDefault="003453B1" w:rsidP="003453B1">
      <w:pPr>
        <w:spacing w:after="0" w:line="240" w:lineRule="auto"/>
        <w:jc w:val="center"/>
        <w:rPr>
          <w:rFonts w:ascii="Times New Roman" w:hAnsi="Times New Roman"/>
          <w:b/>
          <w:i/>
          <w:sz w:val="26"/>
          <w:szCs w:val="26"/>
        </w:rPr>
      </w:pPr>
    </w:p>
    <w:p w:rsidR="003453B1" w:rsidRPr="004005B3" w:rsidRDefault="003453B1" w:rsidP="003453B1">
      <w:pPr>
        <w:spacing w:after="0" w:line="240" w:lineRule="auto"/>
        <w:jc w:val="center"/>
        <w:rPr>
          <w:rFonts w:ascii="Times New Roman" w:hAnsi="Times New Roman"/>
          <w:b/>
          <w:i/>
          <w:sz w:val="26"/>
          <w:szCs w:val="26"/>
        </w:rPr>
      </w:pPr>
      <w:r w:rsidRPr="004005B3">
        <w:rPr>
          <w:rFonts w:ascii="Times New Roman" w:hAnsi="Times New Roman"/>
          <w:b/>
          <w:i/>
          <w:sz w:val="26"/>
          <w:szCs w:val="26"/>
        </w:rPr>
        <w:t>Abstract</w:t>
      </w:r>
    </w:p>
    <w:p w:rsidR="003453B1" w:rsidRPr="004005B3" w:rsidRDefault="003453B1" w:rsidP="003453B1">
      <w:pPr>
        <w:autoSpaceDE w:val="0"/>
        <w:autoSpaceDN w:val="0"/>
        <w:adjustRightInd w:val="0"/>
        <w:spacing w:after="0" w:line="240" w:lineRule="auto"/>
        <w:ind w:left="720" w:right="720"/>
        <w:jc w:val="both"/>
        <w:rPr>
          <w:rFonts w:ascii="Times New Roman" w:hAnsi="Times New Roman"/>
          <w:i/>
          <w:iCs/>
          <w:sz w:val="24"/>
          <w:szCs w:val="24"/>
          <w:lang w:eastAsia="en-GB"/>
        </w:rPr>
      </w:pPr>
      <w:r w:rsidRPr="004005B3">
        <w:rPr>
          <w:rFonts w:ascii="Times New Roman" w:hAnsi="Times New Roman"/>
          <w:i/>
          <w:sz w:val="24"/>
          <w:szCs w:val="24"/>
          <w:lang w:eastAsia="en-GB"/>
        </w:rPr>
        <w:t>Despite the provisions of section 29(1) &amp; 31(2) Companies Income Tax Act (CITA)</w:t>
      </w:r>
      <w:r w:rsidR="00671DD8" w:rsidRPr="004005B3">
        <w:rPr>
          <w:rFonts w:ascii="Times New Roman" w:hAnsi="Times New Roman"/>
          <w:i/>
          <w:sz w:val="24"/>
          <w:szCs w:val="24"/>
          <w:lang w:eastAsia="en-GB"/>
        </w:rPr>
        <w:t xml:space="preserve"> </w:t>
      </w:r>
      <w:r w:rsidRPr="004005B3">
        <w:rPr>
          <w:rFonts w:ascii="Times New Roman" w:hAnsi="Times New Roman"/>
          <w:i/>
          <w:sz w:val="24"/>
          <w:szCs w:val="24"/>
          <w:lang w:eastAsia="en-GB"/>
        </w:rPr>
        <w:t xml:space="preserve">on the constituents of </w:t>
      </w:r>
      <w:r w:rsidR="00671DD8" w:rsidRPr="004005B3">
        <w:rPr>
          <w:rFonts w:ascii="Times New Roman" w:hAnsi="Times New Roman"/>
          <w:i/>
          <w:sz w:val="24"/>
          <w:szCs w:val="24"/>
          <w:lang w:eastAsia="en-GB"/>
        </w:rPr>
        <w:t>c</w:t>
      </w:r>
      <w:r w:rsidRPr="004005B3">
        <w:rPr>
          <w:rFonts w:ascii="Times New Roman" w:hAnsi="Times New Roman"/>
          <w:i/>
          <w:sz w:val="24"/>
          <w:szCs w:val="24"/>
          <w:lang w:eastAsia="en-GB"/>
        </w:rPr>
        <w:t xml:space="preserve">ompany profits and tax treatment of loss deduction in the Nigerian </w:t>
      </w:r>
      <w:r w:rsidR="00671DD8" w:rsidRPr="004005B3">
        <w:rPr>
          <w:rFonts w:ascii="Times New Roman" w:hAnsi="Times New Roman"/>
          <w:i/>
          <w:sz w:val="24"/>
          <w:szCs w:val="24"/>
          <w:lang w:eastAsia="en-GB"/>
        </w:rPr>
        <w:t>b</w:t>
      </w:r>
      <w:r w:rsidRPr="004005B3">
        <w:rPr>
          <w:rFonts w:ascii="Times New Roman" w:hAnsi="Times New Roman"/>
          <w:i/>
          <w:sz w:val="24"/>
          <w:szCs w:val="24"/>
          <w:lang w:eastAsia="en-GB"/>
        </w:rPr>
        <w:t xml:space="preserve">anking sector, the industry is still experiencing some challenges in the determination of bank taxable profit, deductibility of loss and bad debt. </w:t>
      </w:r>
      <w:r w:rsidRPr="004005B3">
        <w:rPr>
          <w:rFonts w:ascii="Times New Roman" w:hAnsi="Times New Roman"/>
          <w:i/>
          <w:sz w:val="24"/>
          <w:szCs w:val="24"/>
        </w:rPr>
        <w:t xml:space="preserve">Most of the available rules in CITA do not accommodate every new accounting principles especially, </w:t>
      </w:r>
      <w:r w:rsidR="00671DD8" w:rsidRPr="004005B3">
        <w:rPr>
          <w:rFonts w:ascii="Times New Roman" w:hAnsi="Times New Roman"/>
          <w:i/>
          <w:sz w:val="24"/>
          <w:szCs w:val="24"/>
        </w:rPr>
        <w:t xml:space="preserve">the </w:t>
      </w:r>
      <w:r w:rsidRPr="004005B3">
        <w:rPr>
          <w:rFonts w:ascii="Times New Roman" w:hAnsi="Times New Roman"/>
          <w:i/>
          <w:sz w:val="24"/>
          <w:szCs w:val="24"/>
        </w:rPr>
        <w:t xml:space="preserve">more complex transactions. This paper appraises the tax issues in the deductibility of losses, and bad debts in the Nigerian Banking Sector and finds that there is yet to be a clear rule for determining the taxable bank profit before the deductibility of loss and bad debt in the Nigerian banking institutions. It recommends for a clearer rule for the determination of the taxable bank profits, amendment </w:t>
      </w:r>
      <w:r w:rsidR="00671DD8" w:rsidRPr="004005B3">
        <w:rPr>
          <w:rFonts w:ascii="Times New Roman" w:hAnsi="Times New Roman"/>
          <w:i/>
          <w:sz w:val="24"/>
          <w:szCs w:val="24"/>
        </w:rPr>
        <w:t xml:space="preserve">of </w:t>
      </w:r>
      <w:r w:rsidRPr="004005B3">
        <w:rPr>
          <w:rFonts w:ascii="Times New Roman" w:hAnsi="Times New Roman"/>
          <w:i/>
          <w:sz w:val="24"/>
          <w:szCs w:val="24"/>
        </w:rPr>
        <w:t>section 29(1) &amp;</w:t>
      </w:r>
      <w:r w:rsidR="00671DD8" w:rsidRPr="004005B3">
        <w:rPr>
          <w:rFonts w:ascii="Times New Roman" w:hAnsi="Times New Roman"/>
          <w:i/>
          <w:sz w:val="24"/>
          <w:szCs w:val="24"/>
        </w:rPr>
        <w:t xml:space="preserve"> 31(</w:t>
      </w:r>
      <w:r w:rsidRPr="004005B3">
        <w:rPr>
          <w:rFonts w:ascii="Times New Roman" w:hAnsi="Times New Roman"/>
          <w:i/>
          <w:sz w:val="24"/>
          <w:szCs w:val="24"/>
        </w:rPr>
        <w:t xml:space="preserve">2) of CITA and adequate use of Tax Information Circulars to forestall the collapse of the banking institution due to heavy tax burden. </w:t>
      </w:r>
    </w:p>
    <w:p w:rsidR="003453B1" w:rsidRPr="004005B3" w:rsidRDefault="003453B1" w:rsidP="003453B1">
      <w:pPr>
        <w:tabs>
          <w:tab w:val="left" w:pos="900"/>
        </w:tabs>
        <w:spacing w:after="0" w:line="240" w:lineRule="auto"/>
        <w:rPr>
          <w:rFonts w:ascii="Times New Roman" w:hAnsi="Times New Roman"/>
          <w:b/>
          <w:sz w:val="26"/>
          <w:szCs w:val="26"/>
          <w:u w:val="single"/>
        </w:rPr>
      </w:pPr>
    </w:p>
    <w:p w:rsidR="003453B1" w:rsidRPr="004005B3" w:rsidRDefault="003453B1" w:rsidP="003453B1">
      <w:pPr>
        <w:spacing w:after="0" w:line="240" w:lineRule="auto"/>
        <w:jc w:val="both"/>
        <w:rPr>
          <w:rFonts w:ascii="Times New Roman" w:hAnsi="Times New Roman"/>
          <w:b/>
          <w:sz w:val="26"/>
          <w:szCs w:val="26"/>
        </w:rPr>
      </w:pPr>
      <w:r w:rsidRPr="004005B3">
        <w:rPr>
          <w:rFonts w:ascii="Times New Roman" w:hAnsi="Times New Roman"/>
          <w:b/>
          <w:sz w:val="26"/>
          <w:szCs w:val="26"/>
        </w:rPr>
        <w:t>1. Introduction</w:t>
      </w:r>
    </w:p>
    <w:p w:rsidR="003453B1" w:rsidRPr="004005B3" w:rsidRDefault="003453B1" w:rsidP="003453B1">
      <w:pPr>
        <w:spacing w:after="0" w:line="240" w:lineRule="auto"/>
        <w:jc w:val="both"/>
        <w:rPr>
          <w:rFonts w:ascii="Times New Roman" w:hAnsi="Times New Roman"/>
          <w:sz w:val="26"/>
          <w:szCs w:val="26"/>
        </w:rPr>
      </w:pPr>
      <w:r w:rsidRPr="004005B3">
        <w:rPr>
          <w:rFonts w:ascii="Times New Roman" w:hAnsi="Times New Roman"/>
          <w:sz w:val="26"/>
          <w:szCs w:val="26"/>
        </w:rPr>
        <w:t>There are varieties of way by which countries engage the tax treatment of loan losses in the banking institution</w:t>
      </w:r>
      <w:r w:rsidR="00597F38" w:rsidRPr="004005B3">
        <w:rPr>
          <w:rFonts w:ascii="Times New Roman" w:hAnsi="Times New Roman"/>
          <w:sz w:val="26"/>
          <w:szCs w:val="26"/>
        </w:rPr>
        <w:t>s</w:t>
      </w:r>
      <w:r w:rsidRPr="004005B3">
        <w:rPr>
          <w:rFonts w:ascii="Times New Roman" w:hAnsi="Times New Roman"/>
          <w:sz w:val="26"/>
          <w:szCs w:val="26"/>
        </w:rPr>
        <w:t>. In some advanced countries,</w:t>
      </w:r>
      <w:r w:rsidRPr="004005B3">
        <w:rPr>
          <w:rStyle w:val="FootnoteReference"/>
          <w:rFonts w:ascii="Times New Roman" w:hAnsi="Times New Roman"/>
          <w:sz w:val="26"/>
          <w:szCs w:val="26"/>
        </w:rPr>
        <w:footnoteReference w:id="2"/>
      </w:r>
      <w:r w:rsidRPr="004005B3">
        <w:rPr>
          <w:rFonts w:ascii="Times New Roman" w:hAnsi="Times New Roman"/>
          <w:sz w:val="26"/>
          <w:szCs w:val="26"/>
        </w:rPr>
        <w:t xml:space="preserve"> charge-off method is used, while in some, </w:t>
      </w:r>
      <w:r w:rsidRPr="004005B3">
        <w:rPr>
          <w:rFonts w:ascii="Times New Roman" w:hAnsi="Times New Roman"/>
          <w:sz w:val="26"/>
          <w:szCs w:val="26"/>
        </w:rPr>
        <w:lastRenderedPageBreak/>
        <w:t xml:space="preserve">reserve method is in vogue.  By charge-off method, it means a method under which loan losses </w:t>
      </w:r>
      <w:r w:rsidR="00BA38A5" w:rsidRPr="004005B3">
        <w:rPr>
          <w:rFonts w:ascii="Times New Roman" w:hAnsi="Times New Roman"/>
          <w:sz w:val="26"/>
          <w:szCs w:val="26"/>
        </w:rPr>
        <w:t xml:space="preserve">which </w:t>
      </w:r>
      <w:r w:rsidRPr="004005B3">
        <w:rPr>
          <w:rFonts w:ascii="Times New Roman" w:hAnsi="Times New Roman"/>
          <w:sz w:val="26"/>
          <w:szCs w:val="26"/>
        </w:rPr>
        <w:t xml:space="preserve">are mainly recognised by the time loans become worthless. In determining whether a loan is worthless, all pertinent evidence, including continual non-performance, adequacy of collateral and the financial condition of the debtor is considered.  </w:t>
      </w:r>
    </w:p>
    <w:p w:rsidR="003453B1" w:rsidRPr="004005B3" w:rsidRDefault="003453B1" w:rsidP="003453B1">
      <w:pPr>
        <w:spacing w:after="0" w:line="240" w:lineRule="auto"/>
        <w:ind w:firstLine="720"/>
        <w:jc w:val="both"/>
        <w:rPr>
          <w:rFonts w:ascii="Times New Roman" w:hAnsi="Times New Roman"/>
          <w:sz w:val="26"/>
          <w:szCs w:val="26"/>
        </w:rPr>
      </w:pPr>
      <w:r w:rsidRPr="004005B3">
        <w:rPr>
          <w:rFonts w:ascii="Times New Roman" w:hAnsi="Times New Roman"/>
          <w:sz w:val="26"/>
          <w:szCs w:val="26"/>
        </w:rPr>
        <w:t>Under the charge-off method, if an amount previously charged off as uncollectible is later recovered or the loan again becomes performing, the amount previously written off is brought back and restored to income.  Reserve method</w:t>
      </w:r>
      <w:r w:rsidR="00BA38A5" w:rsidRPr="004005B3">
        <w:rPr>
          <w:rFonts w:ascii="Times New Roman" w:hAnsi="Times New Roman"/>
          <w:sz w:val="26"/>
          <w:szCs w:val="26"/>
        </w:rPr>
        <w:t>,</w:t>
      </w:r>
      <w:r w:rsidRPr="004005B3">
        <w:rPr>
          <w:rFonts w:ascii="Times New Roman" w:hAnsi="Times New Roman"/>
          <w:sz w:val="26"/>
          <w:szCs w:val="26"/>
        </w:rPr>
        <w:t xml:space="preserve"> on the other hand</w:t>
      </w:r>
      <w:r w:rsidR="00BA38A5" w:rsidRPr="004005B3">
        <w:rPr>
          <w:rFonts w:ascii="Times New Roman" w:hAnsi="Times New Roman"/>
          <w:sz w:val="26"/>
          <w:szCs w:val="26"/>
        </w:rPr>
        <w:t>,</w:t>
      </w:r>
      <w:r w:rsidRPr="004005B3">
        <w:rPr>
          <w:rFonts w:ascii="Times New Roman" w:hAnsi="Times New Roman"/>
          <w:sz w:val="26"/>
          <w:szCs w:val="26"/>
        </w:rPr>
        <w:t xml:space="preserve"> is when there is a provision for accounting for loan losses for tax purpose in addition to requiring it for regulatory purposes.  One certain fact concerning the charge-off and reserve methods is that, both recognise the fact that bad debts are costs of earning income, and for that their cost should be deductible expense for financial and tax purposes.</w:t>
      </w:r>
      <w:r w:rsidRPr="004005B3">
        <w:rPr>
          <w:rStyle w:val="FootnoteReference"/>
          <w:rFonts w:ascii="Times New Roman" w:hAnsi="Times New Roman"/>
          <w:sz w:val="26"/>
          <w:szCs w:val="26"/>
        </w:rPr>
        <w:footnoteReference w:id="3"/>
      </w:r>
    </w:p>
    <w:p w:rsidR="006E377C" w:rsidRPr="004005B3" w:rsidRDefault="003453B1" w:rsidP="006E377C">
      <w:pPr>
        <w:spacing w:after="0" w:line="240" w:lineRule="auto"/>
        <w:ind w:firstLine="720"/>
        <w:jc w:val="both"/>
        <w:rPr>
          <w:rFonts w:ascii="Times New Roman" w:hAnsi="Times New Roman"/>
          <w:sz w:val="26"/>
          <w:szCs w:val="26"/>
        </w:rPr>
      </w:pPr>
      <w:r w:rsidRPr="004005B3">
        <w:rPr>
          <w:rFonts w:ascii="Times New Roman" w:hAnsi="Times New Roman"/>
          <w:sz w:val="26"/>
          <w:szCs w:val="26"/>
        </w:rPr>
        <w:t>Unfortunately, in the Nigerian banking sector, the measurement of taxable annual profits before loss or bad debt are determined is not a straight jacket thing. This is because, in banking business, due to the unpredictable and precarious nature of the business,  profits and losses cannot be anticipated; and the Companies Income Tax Act did not define what ‘profit’ is.</w:t>
      </w:r>
      <w:r w:rsidRPr="004005B3">
        <w:rPr>
          <w:rStyle w:val="FootnoteReference"/>
          <w:rFonts w:ascii="Times New Roman" w:hAnsi="Times New Roman"/>
          <w:sz w:val="26"/>
          <w:szCs w:val="26"/>
        </w:rPr>
        <w:footnoteReference w:id="4"/>
      </w:r>
      <w:r w:rsidRPr="004005B3">
        <w:rPr>
          <w:rFonts w:ascii="Times New Roman" w:hAnsi="Times New Roman"/>
          <w:sz w:val="26"/>
          <w:szCs w:val="26"/>
        </w:rPr>
        <w:t xml:space="preserve">  </w:t>
      </w:r>
      <w:r w:rsidRPr="004005B3">
        <w:rPr>
          <w:rFonts w:ascii="Times New Roman" w:hAnsi="Times New Roman"/>
          <w:sz w:val="26"/>
          <w:szCs w:val="26"/>
        </w:rPr>
        <w:lastRenderedPageBreak/>
        <w:t>Instead of defining what profit is, the Companies Income Tax Act only outlines which revenue of the company a tax is payable.  According to the Act, a tax shall be payable ‘…upon the profits of any company accruing in, derived from, brought into, or receive</w:t>
      </w:r>
      <w:r w:rsidR="00BA38A5" w:rsidRPr="004005B3">
        <w:rPr>
          <w:rFonts w:ascii="Times New Roman" w:hAnsi="Times New Roman"/>
          <w:sz w:val="26"/>
          <w:szCs w:val="26"/>
        </w:rPr>
        <w:t>d</w:t>
      </w:r>
      <w:r w:rsidRPr="004005B3">
        <w:rPr>
          <w:rFonts w:ascii="Times New Roman" w:hAnsi="Times New Roman"/>
          <w:sz w:val="26"/>
          <w:szCs w:val="26"/>
        </w:rPr>
        <w:t xml:space="preserve"> in, Nigeria….</w:t>
      </w:r>
      <w:r w:rsidRPr="004005B3">
        <w:rPr>
          <w:rStyle w:val="FootnoteReference"/>
          <w:rFonts w:ascii="Times New Roman" w:hAnsi="Times New Roman"/>
          <w:sz w:val="26"/>
          <w:szCs w:val="26"/>
        </w:rPr>
        <w:footnoteReference w:id="5"/>
      </w:r>
      <w:r w:rsidRPr="004005B3">
        <w:rPr>
          <w:rFonts w:ascii="Times New Roman" w:hAnsi="Times New Roman"/>
          <w:sz w:val="26"/>
          <w:szCs w:val="26"/>
        </w:rPr>
        <w:t xml:space="preserve">’ </w:t>
      </w:r>
    </w:p>
    <w:p w:rsidR="006E377C" w:rsidRPr="004005B3" w:rsidRDefault="003453B1" w:rsidP="006E377C">
      <w:pPr>
        <w:spacing w:after="0" w:line="240" w:lineRule="auto"/>
        <w:ind w:firstLine="720"/>
        <w:jc w:val="both"/>
        <w:rPr>
          <w:rFonts w:ascii="Times New Roman" w:hAnsi="Times New Roman"/>
          <w:sz w:val="26"/>
          <w:szCs w:val="26"/>
        </w:rPr>
      </w:pPr>
      <w:r w:rsidRPr="004005B3">
        <w:rPr>
          <w:rFonts w:ascii="Times New Roman" w:hAnsi="Times New Roman"/>
          <w:sz w:val="26"/>
          <w:szCs w:val="26"/>
        </w:rPr>
        <w:t>One of the major aims and objectives of establishing bank</w:t>
      </w:r>
      <w:r w:rsidR="00BA38A5" w:rsidRPr="004005B3">
        <w:rPr>
          <w:rFonts w:ascii="Times New Roman" w:hAnsi="Times New Roman"/>
          <w:sz w:val="26"/>
          <w:szCs w:val="26"/>
        </w:rPr>
        <w:t>s</w:t>
      </w:r>
      <w:r w:rsidRPr="004005B3">
        <w:rPr>
          <w:rFonts w:ascii="Times New Roman" w:hAnsi="Times New Roman"/>
          <w:sz w:val="26"/>
          <w:szCs w:val="26"/>
        </w:rPr>
        <w:t xml:space="preserve"> a</w:t>
      </w:r>
      <w:r w:rsidR="00BA38A5" w:rsidRPr="004005B3">
        <w:rPr>
          <w:rFonts w:ascii="Times New Roman" w:hAnsi="Times New Roman"/>
          <w:sz w:val="26"/>
          <w:szCs w:val="26"/>
        </w:rPr>
        <w:t>nd other f</w:t>
      </w:r>
      <w:r w:rsidRPr="004005B3">
        <w:rPr>
          <w:rFonts w:ascii="Times New Roman" w:hAnsi="Times New Roman"/>
          <w:sz w:val="26"/>
          <w:szCs w:val="26"/>
        </w:rPr>
        <w:t xml:space="preserve">inancial </w:t>
      </w:r>
      <w:r w:rsidR="00BA38A5" w:rsidRPr="004005B3">
        <w:rPr>
          <w:rFonts w:ascii="Times New Roman" w:hAnsi="Times New Roman"/>
          <w:sz w:val="26"/>
          <w:szCs w:val="26"/>
        </w:rPr>
        <w:t>i</w:t>
      </w:r>
      <w:r w:rsidRPr="004005B3">
        <w:rPr>
          <w:rFonts w:ascii="Times New Roman" w:hAnsi="Times New Roman"/>
          <w:sz w:val="26"/>
          <w:szCs w:val="26"/>
        </w:rPr>
        <w:t xml:space="preserve">nstitutions is profit making. And, to achieve this, it is expected of the service buyer or benefactor to pay for services received promptly. However, sometimes, </w:t>
      </w:r>
      <w:r w:rsidR="00BA38A5" w:rsidRPr="004005B3">
        <w:rPr>
          <w:rFonts w:ascii="Times New Roman" w:hAnsi="Times New Roman"/>
          <w:sz w:val="26"/>
          <w:szCs w:val="26"/>
        </w:rPr>
        <w:t>f</w:t>
      </w:r>
      <w:r w:rsidRPr="004005B3">
        <w:rPr>
          <w:rFonts w:ascii="Times New Roman" w:hAnsi="Times New Roman"/>
          <w:sz w:val="26"/>
          <w:szCs w:val="26"/>
        </w:rPr>
        <w:t xml:space="preserve">inancial institutions supplying goods and services do it on credit; and delay in payment or outright refusal to pay by debtors, </w:t>
      </w:r>
      <w:r w:rsidR="00BA38A5" w:rsidRPr="004005B3">
        <w:rPr>
          <w:rFonts w:ascii="Times New Roman" w:hAnsi="Times New Roman"/>
          <w:sz w:val="26"/>
          <w:szCs w:val="26"/>
        </w:rPr>
        <w:t>may result in</w:t>
      </w:r>
      <w:r w:rsidRPr="004005B3">
        <w:rPr>
          <w:rFonts w:ascii="Times New Roman" w:hAnsi="Times New Roman"/>
          <w:sz w:val="26"/>
          <w:szCs w:val="26"/>
        </w:rPr>
        <w:t xml:space="preserve"> occasional loss and</w:t>
      </w:r>
      <w:r w:rsidR="004658B5" w:rsidRPr="004005B3">
        <w:rPr>
          <w:rFonts w:ascii="Times New Roman" w:hAnsi="Times New Roman"/>
          <w:sz w:val="26"/>
          <w:szCs w:val="26"/>
        </w:rPr>
        <w:t>/or</w:t>
      </w:r>
      <w:r w:rsidRPr="004005B3">
        <w:rPr>
          <w:rFonts w:ascii="Times New Roman" w:hAnsi="Times New Roman"/>
          <w:sz w:val="26"/>
          <w:szCs w:val="26"/>
        </w:rPr>
        <w:t xml:space="preserve"> collapse</w:t>
      </w:r>
      <w:r w:rsidR="004658B5" w:rsidRPr="004005B3">
        <w:rPr>
          <w:rFonts w:ascii="Times New Roman" w:hAnsi="Times New Roman"/>
          <w:sz w:val="26"/>
          <w:szCs w:val="26"/>
        </w:rPr>
        <w:t xml:space="preserve"> of business</w:t>
      </w:r>
      <w:r w:rsidRPr="004005B3">
        <w:rPr>
          <w:rFonts w:ascii="Times New Roman" w:hAnsi="Times New Roman"/>
          <w:sz w:val="26"/>
          <w:szCs w:val="26"/>
        </w:rPr>
        <w:t xml:space="preserve"> under certain circumstances. In order to guard against the negative effect and to check further spread of effect</w:t>
      </w:r>
      <w:r w:rsidR="004658B5" w:rsidRPr="004005B3">
        <w:rPr>
          <w:rFonts w:ascii="Times New Roman" w:hAnsi="Times New Roman"/>
          <w:sz w:val="26"/>
          <w:szCs w:val="26"/>
        </w:rPr>
        <w:t>s</w:t>
      </w:r>
      <w:r w:rsidRPr="004005B3">
        <w:rPr>
          <w:rFonts w:ascii="Times New Roman" w:hAnsi="Times New Roman"/>
          <w:sz w:val="26"/>
          <w:szCs w:val="26"/>
        </w:rPr>
        <w:t xml:space="preserve"> on the economy, government </w:t>
      </w:r>
      <w:r w:rsidR="004658B5" w:rsidRPr="004005B3">
        <w:rPr>
          <w:rFonts w:ascii="Times New Roman" w:hAnsi="Times New Roman"/>
          <w:sz w:val="26"/>
          <w:szCs w:val="26"/>
        </w:rPr>
        <w:t xml:space="preserve">very often </w:t>
      </w:r>
      <w:r w:rsidRPr="004005B3">
        <w:rPr>
          <w:rFonts w:ascii="Times New Roman" w:hAnsi="Times New Roman"/>
          <w:sz w:val="26"/>
          <w:szCs w:val="26"/>
        </w:rPr>
        <w:t xml:space="preserve">devise </w:t>
      </w:r>
      <w:r w:rsidR="004658B5" w:rsidRPr="004005B3">
        <w:rPr>
          <w:rFonts w:ascii="Times New Roman" w:hAnsi="Times New Roman"/>
          <w:sz w:val="26"/>
          <w:szCs w:val="26"/>
        </w:rPr>
        <w:t xml:space="preserve">means </w:t>
      </w:r>
      <w:r w:rsidRPr="004005B3">
        <w:rPr>
          <w:rFonts w:ascii="Times New Roman" w:hAnsi="Times New Roman"/>
          <w:sz w:val="26"/>
          <w:szCs w:val="26"/>
        </w:rPr>
        <w:t>by which bad loan</w:t>
      </w:r>
      <w:r w:rsidR="004658B5" w:rsidRPr="004005B3">
        <w:rPr>
          <w:rFonts w:ascii="Times New Roman" w:hAnsi="Times New Roman"/>
          <w:sz w:val="26"/>
          <w:szCs w:val="26"/>
        </w:rPr>
        <w:t>s</w:t>
      </w:r>
      <w:r w:rsidRPr="004005B3">
        <w:rPr>
          <w:rFonts w:ascii="Times New Roman" w:hAnsi="Times New Roman"/>
          <w:sz w:val="26"/>
          <w:szCs w:val="26"/>
        </w:rPr>
        <w:t xml:space="preserve"> are mopped up in the banking sector. </w:t>
      </w:r>
    </w:p>
    <w:p w:rsidR="006E377C" w:rsidRPr="004005B3" w:rsidRDefault="003453B1" w:rsidP="006E377C">
      <w:pPr>
        <w:spacing w:after="0" w:line="240" w:lineRule="auto"/>
        <w:ind w:firstLine="720"/>
        <w:jc w:val="both"/>
        <w:rPr>
          <w:rFonts w:ascii="Times New Roman" w:hAnsi="Times New Roman"/>
          <w:sz w:val="26"/>
          <w:szCs w:val="26"/>
        </w:rPr>
      </w:pPr>
      <w:r w:rsidRPr="004005B3">
        <w:rPr>
          <w:rFonts w:ascii="Times New Roman" w:hAnsi="Times New Roman"/>
          <w:sz w:val="26"/>
          <w:szCs w:val="26"/>
        </w:rPr>
        <w:t>In Nigeria, loan losses are allowed to be written off by the bank with the approval of the Central Bank of Nigeria</w:t>
      </w:r>
      <w:r w:rsidR="00C66DC7" w:rsidRPr="004005B3">
        <w:rPr>
          <w:rFonts w:ascii="Times New Roman" w:hAnsi="Times New Roman"/>
          <w:sz w:val="26"/>
          <w:szCs w:val="26"/>
        </w:rPr>
        <w:t xml:space="preserve"> (CBN)</w:t>
      </w:r>
      <w:r w:rsidRPr="004005B3">
        <w:rPr>
          <w:rFonts w:ascii="Times New Roman" w:hAnsi="Times New Roman"/>
          <w:sz w:val="26"/>
          <w:szCs w:val="26"/>
        </w:rPr>
        <w:t xml:space="preserve"> when such loans have been confirmed worthless and uncollectible and have been charged off the books of account of the bank </w:t>
      </w:r>
      <w:r w:rsidR="00C66DC7" w:rsidRPr="004005B3">
        <w:rPr>
          <w:rFonts w:ascii="Times New Roman" w:hAnsi="Times New Roman"/>
          <w:sz w:val="26"/>
          <w:szCs w:val="26"/>
        </w:rPr>
        <w:t xml:space="preserve">at </w:t>
      </w:r>
      <w:r w:rsidRPr="004005B3">
        <w:rPr>
          <w:rFonts w:ascii="Times New Roman" w:hAnsi="Times New Roman"/>
          <w:sz w:val="26"/>
          <w:szCs w:val="26"/>
        </w:rPr>
        <w:t>the end of the taxable year. This is clearly in contrast with some countries where limits on the tax deduction for losses are set off.</w:t>
      </w:r>
      <w:r w:rsidRPr="004005B3">
        <w:rPr>
          <w:rStyle w:val="FootnoteReference"/>
          <w:rFonts w:ascii="Times New Roman" w:hAnsi="Times New Roman"/>
          <w:sz w:val="26"/>
          <w:szCs w:val="26"/>
        </w:rPr>
        <w:footnoteReference w:id="6"/>
      </w:r>
      <w:r w:rsidRPr="004005B3">
        <w:rPr>
          <w:rFonts w:ascii="Times New Roman" w:hAnsi="Times New Roman"/>
          <w:sz w:val="26"/>
          <w:szCs w:val="26"/>
        </w:rPr>
        <w:t xml:space="preserve"> In some countries, however, loan losses may be written off for tax purposes only due to bankruptcy or death of debtor or declaration by a competent court of law, or in form of civil judgment in favour of a debtor.</w:t>
      </w:r>
    </w:p>
    <w:p w:rsidR="006E377C" w:rsidRPr="004005B3" w:rsidRDefault="003453B1" w:rsidP="006E377C">
      <w:pPr>
        <w:spacing w:after="0" w:line="240" w:lineRule="auto"/>
        <w:ind w:firstLine="720"/>
        <w:jc w:val="both"/>
        <w:rPr>
          <w:rFonts w:ascii="Times New Roman" w:hAnsi="Times New Roman"/>
          <w:sz w:val="26"/>
          <w:szCs w:val="26"/>
        </w:rPr>
      </w:pPr>
      <w:r w:rsidRPr="004005B3">
        <w:rPr>
          <w:rFonts w:ascii="Times New Roman" w:hAnsi="Times New Roman"/>
          <w:sz w:val="26"/>
          <w:szCs w:val="26"/>
        </w:rPr>
        <w:t xml:space="preserve">Guarding against the accumulation of either non-performing or bad debt has been the major concern of the government and the Central Bank of Nigeria. In fact, the CBN was reported to have targeted maximum of 5% bad loan ratio for </w:t>
      </w:r>
      <w:r w:rsidRPr="004005B3">
        <w:rPr>
          <w:rFonts w:ascii="Times New Roman" w:hAnsi="Times New Roman"/>
          <w:sz w:val="26"/>
          <w:szCs w:val="26"/>
        </w:rPr>
        <w:lastRenderedPageBreak/>
        <w:t>all the Nigerian banks in 2011/2012</w:t>
      </w:r>
      <w:r w:rsidRPr="004005B3">
        <w:rPr>
          <w:rStyle w:val="FootnoteReference"/>
          <w:rFonts w:ascii="Times New Roman" w:hAnsi="Times New Roman"/>
          <w:sz w:val="26"/>
          <w:szCs w:val="26"/>
        </w:rPr>
        <w:footnoteReference w:id="7"/>
      </w:r>
      <w:r w:rsidRPr="004005B3">
        <w:rPr>
          <w:rFonts w:ascii="Times New Roman" w:hAnsi="Times New Roman"/>
          <w:sz w:val="26"/>
          <w:szCs w:val="26"/>
        </w:rPr>
        <w:t>. In order to achieve the f</w:t>
      </w:r>
      <w:r w:rsidR="00D87393" w:rsidRPr="004005B3">
        <w:rPr>
          <w:rFonts w:ascii="Times New Roman" w:hAnsi="Times New Roman"/>
          <w:sz w:val="26"/>
          <w:szCs w:val="26"/>
        </w:rPr>
        <w:t>ea</w:t>
      </w:r>
      <w:r w:rsidRPr="004005B3">
        <w:rPr>
          <w:rFonts w:ascii="Times New Roman" w:hAnsi="Times New Roman"/>
          <w:sz w:val="26"/>
          <w:szCs w:val="26"/>
        </w:rPr>
        <w:t>t, the CBN cleared all bad loans and was on track to recapitalize banks rescued in a $4 billion bailout in 2011</w:t>
      </w:r>
      <w:r w:rsidRPr="004005B3">
        <w:rPr>
          <w:rStyle w:val="FootnoteReference"/>
          <w:rFonts w:ascii="Times New Roman" w:hAnsi="Times New Roman"/>
          <w:sz w:val="26"/>
          <w:szCs w:val="26"/>
        </w:rPr>
        <w:footnoteReference w:id="8"/>
      </w:r>
      <w:r w:rsidRPr="004005B3">
        <w:rPr>
          <w:rFonts w:ascii="Times New Roman" w:hAnsi="Times New Roman"/>
          <w:sz w:val="26"/>
          <w:szCs w:val="26"/>
        </w:rPr>
        <w:t>.  Furthermore, the Central Bank of Nigeria on Tuesday 5</w:t>
      </w:r>
      <w:r w:rsidRPr="004005B3">
        <w:rPr>
          <w:rFonts w:ascii="Times New Roman" w:hAnsi="Times New Roman"/>
          <w:sz w:val="26"/>
          <w:szCs w:val="26"/>
          <w:vertAlign w:val="superscript"/>
        </w:rPr>
        <w:t>th</w:t>
      </w:r>
      <w:r w:rsidRPr="004005B3">
        <w:rPr>
          <w:rFonts w:ascii="Times New Roman" w:hAnsi="Times New Roman"/>
          <w:sz w:val="26"/>
          <w:szCs w:val="26"/>
        </w:rPr>
        <w:t xml:space="preserve"> April, 2011 said the Asset Management Corporation of Nigeria had bought all non-performing loans in about 22 banks in Nigeria</w:t>
      </w:r>
      <w:r w:rsidRPr="004005B3">
        <w:rPr>
          <w:rStyle w:val="FootnoteReference"/>
          <w:rFonts w:ascii="Times New Roman" w:hAnsi="Times New Roman"/>
          <w:sz w:val="26"/>
          <w:szCs w:val="26"/>
        </w:rPr>
        <w:footnoteReference w:id="9"/>
      </w:r>
      <w:r w:rsidRPr="004005B3">
        <w:rPr>
          <w:rFonts w:ascii="Times New Roman" w:hAnsi="Times New Roman"/>
          <w:sz w:val="26"/>
          <w:szCs w:val="26"/>
        </w:rPr>
        <w:t>.   All these are to protect the banking institution</w:t>
      </w:r>
      <w:r w:rsidR="00D87393" w:rsidRPr="004005B3">
        <w:rPr>
          <w:rFonts w:ascii="Times New Roman" w:hAnsi="Times New Roman"/>
          <w:sz w:val="26"/>
          <w:szCs w:val="26"/>
        </w:rPr>
        <w:t>s</w:t>
      </w:r>
      <w:r w:rsidRPr="004005B3">
        <w:rPr>
          <w:rFonts w:ascii="Times New Roman" w:hAnsi="Times New Roman"/>
          <w:sz w:val="26"/>
          <w:szCs w:val="26"/>
        </w:rPr>
        <w:t xml:space="preserve"> against liquidation and to strengthen their statutory functions toward the customers.</w:t>
      </w:r>
    </w:p>
    <w:p w:rsidR="006E377C" w:rsidRPr="004005B3" w:rsidRDefault="003453B1" w:rsidP="006E377C">
      <w:pPr>
        <w:spacing w:after="0" w:line="240" w:lineRule="auto"/>
        <w:ind w:firstLine="720"/>
        <w:jc w:val="both"/>
        <w:rPr>
          <w:rFonts w:ascii="Times New Roman" w:hAnsi="Times New Roman"/>
          <w:sz w:val="26"/>
          <w:szCs w:val="26"/>
        </w:rPr>
      </w:pPr>
      <w:r w:rsidRPr="004005B3">
        <w:rPr>
          <w:rFonts w:ascii="Times New Roman" w:hAnsi="Times New Roman"/>
          <w:sz w:val="26"/>
          <w:szCs w:val="26"/>
        </w:rPr>
        <w:t xml:space="preserve">Banks, because of the scale and nature of their activities, are possibly more prone to the risk of default by </w:t>
      </w:r>
      <w:r w:rsidRPr="004005B3">
        <w:rPr>
          <w:rFonts w:ascii="Times New Roman" w:hAnsi="Times New Roman"/>
          <w:i/>
          <w:sz w:val="26"/>
          <w:szCs w:val="26"/>
        </w:rPr>
        <w:t>lendee</w:t>
      </w:r>
      <w:r w:rsidRPr="004005B3">
        <w:rPr>
          <w:rFonts w:ascii="Times New Roman" w:hAnsi="Times New Roman"/>
          <w:sz w:val="26"/>
          <w:szCs w:val="26"/>
        </w:rPr>
        <w:t xml:space="preserve"> than most other enterprises.  Under normal circumstances, while computing loans, debtors will be brought into account at their face value, however, if payment is delayed and the debt does not bear commercial rate of interest</w:t>
      </w:r>
      <w:r w:rsidR="00D87393" w:rsidRPr="004005B3">
        <w:rPr>
          <w:rFonts w:ascii="Times New Roman" w:hAnsi="Times New Roman"/>
          <w:sz w:val="26"/>
          <w:szCs w:val="26"/>
        </w:rPr>
        <w:t>,</w:t>
      </w:r>
      <w:r w:rsidRPr="004005B3">
        <w:rPr>
          <w:rFonts w:ascii="Times New Roman" w:hAnsi="Times New Roman"/>
          <w:sz w:val="26"/>
          <w:szCs w:val="26"/>
        </w:rPr>
        <w:t xml:space="preserve"> debt could be discounted. For tax purpose, debtors are generally included in the computation of profits and only limited classes of taxpayers</w:t>
      </w:r>
      <w:r w:rsidRPr="004005B3">
        <w:rPr>
          <w:rStyle w:val="FootnoteReference"/>
          <w:rFonts w:ascii="Times New Roman" w:hAnsi="Times New Roman"/>
          <w:sz w:val="26"/>
          <w:szCs w:val="26"/>
        </w:rPr>
        <w:footnoteReference w:id="10"/>
      </w:r>
      <w:r w:rsidRPr="004005B3">
        <w:rPr>
          <w:rFonts w:ascii="Times New Roman" w:hAnsi="Times New Roman"/>
          <w:sz w:val="26"/>
          <w:szCs w:val="26"/>
        </w:rPr>
        <w:t xml:space="preserve"> are excluded.  Statutorily, the rules applying to the deductibility for tax purpose of bad debt provisions are the same as those applying to any other business.</w:t>
      </w:r>
      <w:r w:rsidRPr="004005B3">
        <w:rPr>
          <w:rStyle w:val="FootnoteReference"/>
          <w:rFonts w:ascii="Times New Roman" w:hAnsi="Times New Roman"/>
          <w:sz w:val="26"/>
          <w:szCs w:val="26"/>
        </w:rPr>
        <w:footnoteReference w:id="11"/>
      </w:r>
      <w:r w:rsidRPr="004005B3">
        <w:rPr>
          <w:rFonts w:ascii="Times New Roman" w:hAnsi="Times New Roman"/>
          <w:sz w:val="26"/>
          <w:szCs w:val="26"/>
        </w:rPr>
        <w:t xml:space="preserve"> The question now is, what is the applicable rule governing the tax aspect of the loss and bad debt in the Nigerian Banking sector? How is a profit computed to determine loss for tax purpose? What are the allowable losses and how is a loan proved to be bad? </w:t>
      </w:r>
    </w:p>
    <w:p w:rsidR="003453B1" w:rsidRPr="004005B3" w:rsidRDefault="003453B1" w:rsidP="006E377C">
      <w:pPr>
        <w:spacing w:after="0" w:line="240" w:lineRule="auto"/>
        <w:ind w:firstLine="720"/>
        <w:jc w:val="both"/>
        <w:rPr>
          <w:rFonts w:ascii="Times New Roman" w:hAnsi="Times New Roman"/>
          <w:sz w:val="26"/>
          <w:szCs w:val="26"/>
        </w:rPr>
      </w:pPr>
      <w:r w:rsidRPr="004005B3">
        <w:rPr>
          <w:rFonts w:ascii="Times New Roman" w:hAnsi="Times New Roman"/>
          <w:sz w:val="26"/>
          <w:szCs w:val="26"/>
        </w:rPr>
        <w:lastRenderedPageBreak/>
        <w:t>Structured into five sections, the next section discusses the conceptual frame work of the study, while section three discusses the determination of Banks taxable profit. Section four focuses on the ascertainment of loss and deductibility of bad debt while section five is on the procedure for computation of profit, proof of bad debt and regulatory accounting for tax purpose. The final section concludes the paper with some practical recommendation</w:t>
      </w:r>
      <w:r w:rsidR="00D87393" w:rsidRPr="004005B3">
        <w:rPr>
          <w:rFonts w:ascii="Times New Roman" w:hAnsi="Times New Roman"/>
          <w:sz w:val="26"/>
          <w:szCs w:val="26"/>
        </w:rPr>
        <w:t>s</w:t>
      </w:r>
      <w:r w:rsidRPr="004005B3">
        <w:rPr>
          <w:rFonts w:ascii="Times New Roman" w:hAnsi="Times New Roman"/>
          <w:sz w:val="26"/>
          <w:szCs w:val="26"/>
        </w:rPr>
        <w:t xml:space="preserve"> to the clogs in the determination of banks taxable profit in o</w:t>
      </w:r>
      <w:r w:rsidR="00D87393" w:rsidRPr="004005B3">
        <w:rPr>
          <w:rFonts w:ascii="Times New Roman" w:hAnsi="Times New Roman"/>
          <w:sz w:val="26"/>
          <w:szCs w:val="26"/>
        </w:rPr>
        <w:t>rde</w:t>
      </w:r>
      <w:r w:rsidRPr="004005B3">
        <w:rPr>
          <w:rFonts w:ascii="Times New Roman" w:hAnsi="Times New Roman"/>
          <w:sz w:val="26"/>
          <w:szCs w:val="26"/>
        </w:rPr>
        <w:t>r to reduce tax burden in the banking industry.</w:t>
      </w:r>
    </w:p>
    <w:p w:rsidR="003453B1" w:rsidRPr="004005B3" w:rsidRDefault="003453B1" w:rsidP="003453B1">
      <w:pPr>
        <w:spacing w:after="0" w:line="240" w:lineRule="auto"/>
        <w:jc w:val="both"/>
        <w:rPr>
          <w:rFonts w:ascii="Times New Roman" w:hAnsi="Times New Roman"/>
          <w:sz w:val="26"/>
          <w:szCs w:val="26"/>
        </w:rPr>
      </w:pPr>
    </w:p>
    <w:p w:rsidR="003453B1" w:rsidRPr="004005B3" w:rsidRDefault="006E377C" w:rsidP="003453B1">
      <w:pPr>
        <w:spacing w:after="0" w:line="240" w:lineRule="auto"/>
        <w:jc w:val="both"/>
        <w:rPr>
          <w:rFonts w:ascii="Times New Roman" w:hAnsi="Times New Roman"/>
          <w:b/>
          <w:sz w:val="26"/>
          <w:szCs w:val="26"/>
        </w:rPr>
      </w:pPr>
      <w:r w:rsidRPr="004005B3">
        <w:rPr>
          <w:rStyle w:val="CommentReference"/>
          <w:rFonts w:ascii="Times New Roman" w:hAnsi="Times New Roman"/>
          <w:b/>
          <w:sz w:val="26"/>
          <w:szCs w:val="26"/>
        </w:rPr>
        <w:t>2. De</w:t>
      </w:r>
      <w:r w:rsidRPr="004005B3">
        <w:rPr>
          <w:rFonts w:ascii="Times New Roman" w:hAnsi="Times New Roman"/>
          <w:b/>
          <w:sz w:val="26"/>
          <w:szCs w:val="26"/>
        </w:rPr>
        <w:t>termination of Banks’ Taxable Profits</w:t>
      </w:r>
    </w:p>
    <w:p w:rsidR="003453B1" w:rsidRPr="004005B3" w:rsidRDefault="003453B1" w:rsidP="003453B1">
      <w:pPr>
        <w:spacing w:after="0" w:line="240" w:lineRule="auto"/>
        <w:jc w:val="both"/>
        <w:rPr>
          <w:rFonts w:ascii="Times New Roman" w:hAnsi="Times New Roman"/>
          <w:sz w:val="26"/>
          <w:szCs w:val="26"/>
        </w:rPr>
      </w:pPr>
      <w:r w:rsidRPr="004005B3">
        <w:rPr>
          <w:rFonts w:ascii="Times New Roman" w:hAnsi="Times New Roman"/>
          <w:sz w:val="26"/>
          <w:szCs w:val="26"/>
        </w:rPr>
        <w:t>In Nigeria, despite the length of time over which the Companies Income Tax Act charge has existed in substantially unaltered form, there are still many areas where the rules for determining the taxable profits of a trade are anything but certain.</w:t>
      </w:r>
      <w:r w:rsidRPr="004005B3">
        <w:rPr>
          <w:rStyle w:val="FootnoteReference"/>
          <w:rFonts w:ascii="Times New Roman" w:hAnsi="Times New Roman"/>
          <w:sz w:val="26"/>
          <w:szCs w:val="26"/>
        </w:rPr>
        <w:footnoteReference w:id="12"/>
      </w:r>
      <w:r w:rsidRPr="004005B3">
        <w:rPr>
          <w:rFonts w:ascii="Times New Roman" w:hAnsi="Times New Roman"/>
          <w:sz w:val="26"/>
          <w:szCs w:val="26"/>
        </w:rPr>
        <w:t xml:space="preserve">  Many of the leading cases did not involve the CITA, 1990 charge but arose out of comments against accountants not disclosing full amount of profits</w:t>
      </w:r>
      <w:r w:rsidRPr="004005B3">
        <w:rPr>
          <w:rStyle w:val="FootnoteReference"/>
          <w:rFonts w:ascii="Times New Roman" w:hAnsi="Times New Roman"/>
          <w:sz w:val="26"/>
          <w:szCs w:val="26"/>
        </w:rPr>
        <w:footnoteReference w:id="13"/>
      </w:r>
      <w:r w:rsidRPr="004005B3">
        <w:rPr>
          <w:rFonts w:ascii="Times New Roman" w:hAnsi="Times New Roman"/>
          <w:sz w:val="26"/>
          <w:szCs w:val="26"/>
        </w:rPr>
        <w:t>. Even the leading cases on the matter</w:t>
      </w:r>
      <w:r w:rsidRPr="004005B3">
        <w:rPr>
          <w:rStyle w:val="FootnoteReference"/>
          <w:rFonts w:ascii="Times New Roman" w:hAnsi="Times New Roman"/>
          <w:sz w:val="26"/>
          <w:szCs w:val="26"/>
        </w:rPr>
        <w:footnoteReference w:id="14"/>
      </w:r>
      <w:r w:rsidRPr="004005B3">
        <w:rPr>
          <w:rFonts w:ascii="Times New Roman" w:hAnsi="Times New Roman"/>
          <w:sz w:val="26"/>
          <w:szCs w:val="26"/>
        </w:rPr>
        <w:t xml:space="preserve"> have not resulted in greater certainty in practice, but each has provoked a considerable amount of controversies. The major reason for these controversies was that, new accounting principles and more complex transactions do not always fit very aptly into rules developed to deal with more straightforward trades.</w:t>
      </w:r>
      <w:r w:rsidRPr="004005B3">
        <w:rPr>
          <w:rStyle w:val="FootnoteReference"/>
          <w:rFonts w:ascii="Times New Roman" w:hAnsi="Times New Roman"/>
          <w:sz w:val="26"/>
          <w:szCs w:val="26"/>
        </w:rPr>
        <w:footnoteReference w:id="15"/>
      </w:r>
      <w:r w:rsidRPr="004005B3">
        <w:rPr>
          <w:rFonts w:ascii="Times New Roman" w:hAnsi="Times New Roman"/>
          <w:sz w:val="26"/>
          <w:szCs w:val="26"/>
        </w:rPr>
        <w:t xml:space="preserve"> </w:t>
      </w:r>
    </w:p>
    <w:p w:rsidR="003453B1" w:rsidRPr="004005B3" w:rsidRDefault="003453B1" w:rsidP="004506E8">
      <w:pPr>
        <w:spacing w:after="0" w:line="240" w:lineRule="auto"/>
        <w:ind w:firstLine="720"/>
        <w:jc w:val="both"/>
        <w:rPr>
          <w:rFonts w:ascii="Times New Roman" w:hAnsi="Times New Roman"/>
          <w:sz w:val="26"/>
          <w:szCs w:val="26"/>
        </w:rPr>
      </w:pPr>
      <w:r w:rsidRPr="004005B3">
        <w:rPr>
          <w:rFonts w:ascii="Times New Roman" w:hAnsi="Times New Roman"/>
          <w:sz w:val="26"/>
          <w:szCs w:val="26"/>
        </w:rPr>
        <w:lastRenderedPageBreak/>
        <w:t>Amongst the principle</w:t>
      </w:r>
      <w:r w:rsidR="0078743C" w:rsidRPr="004005B3">
        <w:rPr>
          <w:rFonts w:ascii="Times New Roman" w:hAnsi="Times New Roman"/>
          <w:sz w:val="26"/>
          <w:szCs w:val="26"/>
        </w:rPr>
        <w:t>s</w:t>
      </w:r>
      <w:r w:rsidRPr="004005B3">
        <w:rPr>
          <w:rFonts w:ascii="Times New Roman" w:hAnsi="Times New Roman"/>
          <w:sz w:val="26"/>
          <w:szCs w:val="26"/>
        </w:rPr>
        <w:t xml:space="preserve"> used in determining banks</w:t>
      </w:r>
      <w:r w:rsidR="00372ED9" w:rsidRPr="004005B3">
        <w:rPr>
          <w:rFonts w:ascii="Times New Roman" w:hAnsi="Times New Roman"/>
          <w:sz w:val="26"/>
          <w:szCs w:val="26"/>
        </w:rPr>
        <w:t>’</w:t>
      </w:r>
      <w:r w:rsidRPr="004005B3">
        <w:rPr>
          <w:rFonts w:ascii="Times New Roman" w:hAnsi="Times New Roman"/>
          <w:sz w:val="26"/>
          <w:szCs w:val="26"/>
        </w:rPr>
        <w:t xml:space="preserve"> taxable profit</w:t>
      </w:r>
      <w:r w:rsidR="00372ED9" w:rsidRPr="004005B3">
        <w:rPr>
          <w:rFonts w:ascii="Times New Roman" w:hAnsi="Times New Roman"/>
          <w:sz w:val="26"/>
          <w:szCs w:val="26"/>
        </w:rPr>
        <w:t>s</w:t>
      </w:r>
      <w:r w:rsidRPr="004005B3">
        <w:rPr>
          <w:rFonts w:ascii="Times New Roman" w:hAnsi="Times New Roman"/>
          <w:sz w:val="26"/>
          <w:szCs w:val="26"/>
        </w:rPr>
        <w:t xml:space="preserve"> are the normal commercial principle,</w:t>
      </w:r>
      <w:r w:rsidRPr="004005B3">
        <w:rPr>
          <w:rStyle w:val="FootnoteReference"/>
          <w:rFonts w:ascii="Times New Roman" w:hAnsi="Times New Roman"/>
          <w:sz w:val="26"/>
          <w:szCs w:val="26"/>
        </w:rPr>
        <w:footnoteReference w:id="16"/>
      </w:r>
      <w:r w:rsidRPr="004005B3">
        <w:rPr>
          <w:rFonts w:ascii="Times New Roman" w:hAnsi="Times New Roman"/>
          <w:sz w:val="26"/>
          <w:szCs w:val="26"/>
        </w:rPr>
        <w:t xml:space="preserve"> which basically emphasised the interpretation of the word, ‘profit’ literarily, the concept of accruing profit and expenses rather than setting out receipts and payment</w:t>
      </w:r>
      <w:r w:rsidR="004506E8" w:rsidRPr="004005B3">
        <w:rPr>
          <w:rFonts w:ascii="Times New Roman" w:hAnsi="Times New Roman"/>
          <w:sz w:val="26"/>
          <w:szCs w:val="26"/>
        </w:rPr>
        <w:t>.</w:t>
      </w:r>
      <w:r w:rsidRPr="004005B3">
        <w:rPr>
          <w:rStyle w:val="FootnoteReference"/>
          <w:rFonts w:ascii="Times New Roman" w:hAnsi="Times New Roman"/>
          <w:sz w:val="26"/>
          <w:szCs w:val="26"/>
        </w:rPr>
        <w:footnoteReference w:id="17"/>
      </w:r>
      <w:r w:rsidRPr="004005B3">
        <w:rPr>
          <w:rFonts w:ascii="Times New Roman" w:hAnsi="Times New Roman"/>
          <w:sz w:val="26"/>
          <w:szCs w:val="26"/>
        </w:rPr>
        <w:t xml:space="preserve"> Possibly, the definition of taxable profits, which is most often quoted, is that of Lord President Clyde in </w:t>
      </w:r>
      <w:r w:rsidRPr="004005B3">
        <w:rPr>
          <w:rFonts w:ascii="Times New Roman" w:hAnsi="Times New Roman"/>
          <w:i/>
          <w:sz w:val="26"/>
          <w:szCs w:val="26"/>
        </w:rPr>
        <w:t>Whimster &amp; Co. v IRC</w:t>
      </w:r>
      <w:r w:rsidR="004506E8" w:rsidRPr="004005B3">
        <w:rPr>
          <w:rFonts w:ascii="Times New Roman" w:hAnsi="Times New Roman"/>
          <w:sz w:val="26"/>
          <w:szCs w:val="26"/>
        </w:rPr>
        <w:t>:</w:t>
      </w:r>
      <w:r w:rsidRPr="004005B3">
        <w:rPr>
          <w:rStyle w:val="FootnoteReference"/>
          <w:rFonts w:ascii="Times New Roman" w:hAnsi="Times New Roman"/>
          <w:sz w:val="26"/>
          <w:szCs w:val="26"/>
        </w:rPr>
        <w:footnoteReference w:id="18"/>
      </w:r>
    </w:p>
    <w:p w:rsidR="004506E8" w:rsidRPr="004005B3" w:rsidRDefault="004506E8" w:rsidP="004506E8">
      <w:pPr>
        <w:tabs>
          <w:tab w:val="left" w:pos="8370"/>
        </w:tabs>
        <w:spacing w:after="0" w:line="240" w:lineRule="auto"/>
        <w:ind w:left="720" w:right="720"/>
        <w:jc w:val="both"/>
        <w:rPr>
          <w:rFonts w:ascii="Times New Roman" w:hAnsi="Times New Roman"/>
          <w:sz w:val="24"/>
          <w:szCs w:val="24"/>
        </w:rPr>
      </w:pPr>
    </w:p>
    <w:p w:rsidR="003453B1" w:rsidRPr="004005B3" w:rsidRDefault="003453B1" w:rsidP="004506E8">
      <w:pPr>
        <w:tabs>
          <w:tab w:val="left" w:pos="8370"/>
        </w:tabs>
        <w:spacing w:after="0" w:line="240" w:lineRule="auto"/>
        <w:ind w:left="720" w:right="720"/>
        <w:jc w:val="both"/>
        <w:rPr>
          <w:rFonts w:ascii="Times New Roman" w:hAnsi="Times New Roman"/>
          <w:sz w:val="24"/>
          <w:szCs w:val="24"/>
        </w:rPr>
      </w:pPr>
      <w:r w:rsidRPr="004005B3">
        <w:rPr>
          <w:rFonts w:ascii="Times New Roman" w:hAnsi="Times New Roman"/>
          <w:sz w:val="24"/>
          <w:szCs w:val="24"/>
        </w:rPr>
        <w:t>In computing the balance of profits and gains for the purposes of income tax, two general and fundamental common places have always to be kept</w:t>
      </w:r>
      <w:r w:rsidR="004506E8" w:rsidRPr="004005B3">
        <w:rPr>
          <w:rFonts w:ascii="Times New Roman" w:hAnsi="Times New Roman"/>
          <w:sz w:val="24"/>
          <w:szCs w:val="24"/>
        </w:rPr>
        <w:t xml:space="preserve"> </w:t>
      </w:r>
      <w:r w:rsidRPr="004005B3">
        <w:rPr>
          <w:rFonts w:ascii="Times New Roman" w:hAnsi="Times New Roman"/>
          <w:sz w:val="24"/>
          <w:szCs w:val="24"/>
        </w:rPr>
        <w:t>in mind. In the first place, the profits, any particular year or accounting period, must be taken to consist of the difference between the receipts from the</w:t>
      </w:r>
      <w:r w:rsidR="004506E8" w:rsidRPr="004005B3">
        <w:rPr>
          <w:rFonts w:ascii="Times New Roman" w:hAnsi="Times New Roman"/>
          <w:sz w:val="24"/>
          <w:szCs w:val="24"/>
        </w:rPr>
        <w:t xml:space="preserve"> </w:t>
      </w:r>
      <w:r w:rsidRPr="004005B3">
        <w:rPr>
          <w:rFonts w:ascii="Times New Roman" w:hAnsi="Times New Roman"/>
          <w:sz w:val="24"/>
          <w:szCs w:val="24"/>
        </w:rPr>
        <w:t>trade or business during such year or accounting period and expenditure laid</w:t>
      </w:r>
      <w:r w:rsidR="004506E8" w:rsidRPr="004005B3">
        <w:rPr>
          <w:rFonts w:ascii="Times New Roman" w:hAnsi="Times New Roman"/>
          <w:sz w:val="24"/>
          <w:szCs w:val="24"/>
        </w:rPr>
        <w:t xml:space="preserve"> </w:t>
      </w:r>
      <w:r w:rsidRPr="004005B3">
        <w:rPr>
          <w:rFonts w:ascii="Times New Roman" w:hAnsi="Times New Roman"/>
          <w:sz w:val="24"/>
          <w:szCs w:val="24"/>
        </w:rPr>
        <w:t>out to earn those receipts. In the second place, the account of profit and loss to</w:t>
      </w:r>
      <w:r w:rsidR="004506E8" w:rsidRPr="004005B3">
        <w:rPr>
          <w:rFonts w:ascii="Times New Roman" w:hAnsi="Times New Roman"/>
          <w:sz w:val="24"/>
          <w:szCs w:val="24"/>
        </w:rPr>
        <w:t xml:space="preserve"> </w:t>
      </w:r>
      <w:r w:rsidRPr="004005B3">
        <w:rPr>
          <w:rFonts w:ascii="Times New Roman" w:hAnsi="Times New Roman"/>
          <w:sz w:val="24"/>
          <w:szCs w:val="24"/>
        </w:rPr>
        <w:t xml:space="preserve">be made up for the purpose of ascertaining that difference must be framed </w:t>
      </w:r>
      <w:r w:rsidR="004506E8" w:rsidRPr="004005B3">
        <w:rPr>
          <w:rFonts w:ascii="Times New Roman" w:hAnsi="Times New Roman"/>
          <w:sz w:val="24"/>
          <w:szCs w:val="24"/>
        </w:rPr>
        <w:t xml:space="preserve"> </w:t>
      </w:r>
      <w:r w:rsidRPr="004005B3">
        <w:rPr>
          <w:rFonts w:ascii="Times New Roman" w:hAnsi="Times New Roman"/>
          <w:sz w:val="24"/>
          <w:szCs w:val="24"/>
        </w:rPr>
        <w:t>consistently with the ordinary principles of commercial accounting, so far as</w:t>
      </w:r>
      <w:r w:rsidR="004506E8" w:rsidRPr="004005B3">
        <w:rPr>
          <w:rFonts w:ascii="Times New Roman" w:hAnsi="Times New Roman"/>
          <w:sz w:val="24"/>
          <w:szCs w:val="24"/>
        </w:rPr>
        <w:t xml:space="preserve"> </w:t>
      </w:r>
      <w:r w:rsidRPr="004005B3">
        <w:rPr>
          <w:rFonts w:ascii="Times New Roman" w:hAnsi="Times New Roman"/>
          <w:sz w:val="24"/>
          <w:szCs w:val="24"/>
        </w:rPr>
        <w:t>applicable</w:t>
      </w:r>
      <w:r w:rsidR="00372ED9" w:rsidRPr="004005B3">
        <w:rPr>
          <w:rFonts w:ascii="Times New Roman" w:hAnsi="Times New Roman"/>
          <w:sz w:val="24"/>
          <w:szCs w:val="24"/>
        </w:rPr>
        <w:t xml:space="preserve"> </w:t>
      </w:r>
      <w:r w:rsidRPr="004005B3">
        <w:rPr>
          <w:rFonts w:ascii="Times New Roman" w:hAnsi="Times New Roman"/>
          <w:sz w:val="24"/>
          <w:szCs w:val="24"/>
        </w:rPr>
        <w:t>and in conformity with the rules of the Income Tax Act</w:t>
      </w:r>
      <w:r w:rsidR="004506E8" w:rsidRPr="004005B3">
        <w:rPr>
          <w:rFonts w:ascii="Times New Roman" w:hAnsi="Times New Roman"/>
          <w:sz w:val="24"/>
          <w:szCs w:val="24"/>
        </w:rPr>
        <w:t>.</w:t>
      </w:r>
      <w:r w:rsidRPr="004005B3">
        <w:rPr>
          <w:rStyle w:val="FootnoteReference"/>
          <w:rFonts w:ascii="Times New Roman" w:hAnsi="Times New Roman"/>
          <w:sz w:val="24"/>
          <w:szCs w:val="24"/>
        </w:rPr>
        <w:footnoteReference w:id="19"/>
      </w:r>
    </w:p>
    <w:p w:rsidR="004506E8" w:rsidRPr="004005B3" w:rsidRDefault="004506E8" w:rsidP="004506E8">
      <w:pPr>
        <w:tabs>
          <w:tab w:val="left" w:pos="8370"/>
        </w:tabs>
        <w:spacing w:after="0" w:line="240" w:lineRule="auto"/>
        <w:ind w:left="720" w:right="720"/>
        <w:jc w:val="both"/>
        <w:rPr>
          <w:rStyle w:val="CommentReference"/>
          <w:rFonts w:ascii="Times New Roman" w:hAnsi="Times New Roman"/>
          <w:sz w:val="26"/>
          <w:szCs w:val="26"/>
        </w:rPr>
      </w:pPr>
    </w:p>
    <w:p w:rsidR="00F85F3F" w:rsidRPr="004005B3" w:rsidRDefault="003453B1" w:rsidP="00F85F3F">
      <w:pPr>
        <w:spacing w:after="0" w:line="240" w:lineRule="auto"/>
        <w:ind w:firstLine="720"/>
        <w:jc w:val="both"/>
        <w:rPr>
          <w:rFonts w:ascii="Times New Roman" w:hAnsi="Times New Roman"/>
          <w:sz w:val="26"/>
          <w:szCs w:val="26"/>
        </w:rPr>
      </w:pPr>
      <w:r w:rsidRPr="004005B3">
        <w:rPr>
          <w:rFonts w:ascii="Times New Roman" w:hAnsi="Times New Roman"/>
          <w:sz w:val="26"/>
          <w:szCs w:val="26"/>
        </w:rPr>
        <w:t>Debts due and owing, in addition to opening and closing work in progress or stock in trade, must, accordingly, be brought into account for tax purposes so that profits are not distorted by any build up or reduction in the closing balances.</w:t>
      </w:r>
      <w:r w:rsidRPr="004005B3">
        <w:rPr>
          <w:rStyle w:val="FootnoteReference"/>
          <w:rFonts w:ascii="Times New Roman" w:hAnsi="Times New Roman"/>
          <w:sz w:val="26"/>
          <w:szCs w:val="26"/>
        </w:rPr>
        <w:footnoteReference w:id="20"/>
      </w:r>
      <w:r w:rsidRPr="004005B3">
        <w:rPr>
          <w:rFonts w:ascii="Times New Roman" w:hAnsi="Times New Roman"/>
          <w:sz w:val="26"/>
          <w:szCs w:val="26"/>
        </w:rPr>
        <w:t xml:space="preserve"> As a </w:t>
      </w:r>
      <w:r w:rsidRPr="004005B3">
        <w:rPr>
          <w:rFonts w:ascii="Times New Roman" w:hAnsi="Times New Roman"/>
          <w:sz w:val="26"/>
          <w:szCs w:val="26"/>
        </w:rPr>
        <w:lastRenderedPageBreak/>
        <w:t>company’s account would naturally include debts, work in progress and stock in trade, taxation adjustments to accountancy profits are only required when the way in which these are calculated for accounting purposes fails to satisfy taxation requirements.</w:t>
      </w:r>
      <w:r w:rsidRPr="004005B3">
        <w:rPr>
          <w:rStyle w:val="FootnoteReference"/>
          <w:rFonts w:ascii="Times New Roman" w:hAnsi="Times New Roman"/>
          <w:sz w:val="26"/>
          <w:szCs w:val="26"/>
        </w:rPr>
        <w:t xml:space="preserve"> </w:t>
      </w:r>
      <w:r w:rsidRPr="004005B3">
        <w:rPr>
          <w:rStyle w:val="FootnoteReference"/>
          <w:rFonts w:ascii="Times New Roman" w:hAnsi="Times New Roman"/>
          <w:sz w:val="26"/>
          <w:szCs w:val="26"/>
        </w:rPr>
        <w:footnoteReference w:id="21"/>
      </w:r>
    </w:p>
    <w:p w:rsidR="00F85F3F" w:rsidRPr="004005B3" w:rsidRDefault="003453B1" w:rsidP="00F85F3F">
      <w:pPr>
        <w:spacing w:after="0" w:line="240" w:lineRule="auto"/>
        <w:ind w:firstLine="720"/>
        <w:jc w:val="both"/>
        <w:rPr>
          <w:rFonts w:ascii="Times New Roman" w:hAnsi="Times New Roman"/>
          <w:sz w:val="26"/>
          <w:szCs w:val="26"/>
        </w:rPr>
      </w:pPr>
      <w:r w:rsidRPr="004005B3">
        <w:rPr>
          <w:rFonts w:ascii="Times New Roman" w:hAnsi="Times New Roman"/>
          <w:sz w:val="26"/>
          <w:szCs w:val="26"/>
        </w:rPr>
        <w:t>The rule that taxable profits are determine</w:t>
      </w:r>
      <w:r w:rsidR="00372ED9" w:rsidRPr="004005B3">
        <w:rPr>
          <w:rFonts w:ascii="Times New Roman" w:hAnsi="Times New Roman"/>
          <w:sz w:val="26"/>
          <w:szCs w:val="26"/>
        </w:rPr>
        <w:t>d</w:t>
      </w:r>
      <w:r w:rsidRPr="004005B3">
        <w:rPr>
          <w:rFonts w:ascii="Times New Roman" w:hAnsi="Times New Roman"/>
          <w:sz w:val="26"/>
          <w:szCs w:val="26"/>
        </w:rPr>
        <w:t xml:space="preserve"> according to normal commercial principles may be qualified by the specific requirements of CITA</w:t>
      </w:r>
      <w:r w:rsidRPr="004005B3">
        <w:rPr>
          <w:rStyle w:val="FootnoteReference"/>
          <w:rFonts w:ascii="Times New Roman" w:hAnsi="Times New Roman"/>
          <w:sz w:val="26"/>
          <w:szCs w:val="26"/>
        </w:rPr>
        <w:footnoteReference w:id="22"/>
      </w:r>
      <w:r w:rsidRPr="004005B3">
        <w:rPr>
          <w:rFonts w:ascii="Times New Roman" w:hAnsi="Times New Roman"/>
          <w:sz w:val="26"/>
          <w:szCs w:val="26"/>
        </w:rPr>
        <w:t xml:space="preserve"> which provide for numerous adjustments to be made to accounting profits in order to determine the taxable profits for the period. Subject to such adjustments as are demanded by legislation or case law, however, a company’s accounts will determine its taxable profits provided that these are prepared </w:t>
      </w:r>
      <w:r w:rsidR="00372ED9" w:rsidRPr="004005B3">
        <w:rPr>
          <w:rFonts w:ascii="Times New Roman" w:hAnsi="Times New Roman"/>
          <w:sz w:val="26"/>
          <w:szCs w:val="26"/>
        </w:rPr>
        <w:t xml:space="preserve">using </w:t>
      </w:r>
      <w:r w:rsidRPr="004005B3">
        <w:rPr>
          <w:rFonts w:ascii="Times New Roman" w:hAnsi="Times New Roman"/>
          <w:sz w:val="26"/>
          <w:szCs w:val="26"/>
        </w:rPr>
        <w:t>a few of these normal accounting principles</w:t>
      </w:r>
      <w:r w:rsidR="00F85F3F" w:rsidRPr="004005B3">
        <w:rPr>
          <w:rFonts w:ascii="Times New Roman" w:hAnsi="Times New Roman"/>
          <w:sz w:val="26"/>
          <w:szCs w:val="26"/>
        </w:rPr>
        <w:t>.</w:t>
      </w:r>
      <w:r w:rsidRPr="004005B3">
        <w:rPr>
          <w:rStyle w:val="FootnoteReference"/>
          <w:rFonts w:ascii="Times New Roman" w:hAnsi="Times New Roman"/>
          <w:sz w:val="26"/>
          <w:szCs w:val="26"/>
        </w:rPr>
        <w:footnoteReference w:id="23"/>
      </w:r>
    </w:p>
    <w:p w:rsidR="003453B1" w:rsidRPr="004005B3" w:rsidRDefault="003453B1" w:rsidP="00F85F3F">
      <w:pPr>
        <w:spacing w:after="0" w:line="240" w:lineRule="auto"/>
        <w:ind w:firstLine="720"/>
        <w:jc w:val="both"/>
        <w:rPr>
          <w:rFonts w:ascii="Times New Roman" w:hAnsi="Times New Roman"/>
          <w:sz w:val="26"/>
          <w:szCs w:val="26"/>
        </w:rPr>
      </w:pPr>
      <w:r w:rsidRPr="004005B3">
        <w:rPr>
          <w:rFonts w:ascii="Times New Roman" w:hAnsi="Times New Roman"/>
          <w:sz w:val="26"/>
          <w:szCs w:val="26"/>
        </w:rPr>
        <w:t>Contemporarily, expert evidence of accountancy practice</w:t>
      </w:r>
      <w:r w:rsidR="00372ED9" w:rsidRPr="004005B3">
        <w:rPr>
          <w:rFonts w:ascii="Times New Roman" w:hAnsi="Times New Roman"/>
          <w:sz w:val="26"/>
          <w:szCs w:val="26"/>
        </w:rPr>
        <w:t>s</w:t>
      </w:r>
      <w:r w:rsidRPr="004005B3">
        <w:rPr>
          <w:rFonts w:ascii="Times New Roman" w:hAnsi="Times New Roman"/>
          <w:sz w:val="26"/>
          <w:szCs w:val="26"/>
        </w:rPr>
        <w:t xml:space="preserve"> appears to be growing in importance in determining whether or not a particular item is to be subject to tax during a particular period. This may be in part because, since the early cases, company law requirements and accountancy principles have increased the technical requirements for companies in drawing up their accounts. Ordinary commercial accounting practice</w:t>
      </w:r>
      <w:r w:rsidR="00CE64E1" w:rsidRPr="004005B3">
        <w:rPr>
          <w:rFonts w:ascii="Times New Roman" w:hAnsi="Times New Roman"/>
          <w:sz w:val="26"/>
          <w:szCs w:val="26"/>
        </w:rPr>
        <w:t>s</w:t>
      </w:r>
      <w:r w:rsidRPr="004005B3">
        <w:rPr>
          <w:rFonts w:ascii="Times New Roman" w:hAnsi="Times New Roman"/>
          <w:sz w:val="26"/>
          <w:szCs w:val="26"/>
        </w:rPr>
        <w:t xml:space="preserve"> now ha</w:t>
      </w:r>
      <w:r w:rsidR="00372ED9" w:rsidRPr="004005B3">
        <w:rPr>
          <w:rFonts w:ascii="Times New Roman" w:hAnsi="Times New Roman"/>
          <w:sz w:val="26"/>
          <w:szCs w:val="26"/>
        </w:rPr>
        <w:t xml:space="preserve">ve </w:t>
      </w:r>
      <w:r w:rsidRPr="004005B3">
        <w:rPr>
          <w:rFonts w:ascii="Times New Roman" w:hAnsi="Times New Roman"/>
          <w:sz w:val="26"/>
          <w:szCs w:val="26"/>
        </w:rPr>
        <w:t>to be determined in accordance with accounting standards set out by the accountancy bodies from time to time. The principle remains, however, that although accountancy practice is important, it is not decisive</w:t>
      </w:r>
      <w:r w:rsidR="00F85F3F" w:rsidRPr="004005B3">
        <w:rPr>
          <w:rFonts w:ascii="Times New Roman" w:hAnsi="Times New Roman"/>
          <w:sz w:val="26"/>
          <w:szCs w:val="26"/>
        </w:rPr>
        <w:t>.</w:t>
      </w:r>
      <w:r w:rsidRPr="004005B3">
        <w:rPr>
          <w:rStyle w:val="FootnoteReference"/>
          <w:rFonts w:ascii="Times New Roman" w:hAnsi="Times New Roman"/>
          <w:sz w:val="26"/>
          <w:szCs w:val="26"/>
        </w:rPr>
        <w:footnoteReference w:id="24"/>
      </w:r>
    </w:p>
    <w:p w:rsidR="00F85F3F" w:rsidRPr="004005B3" w:rsidRDefault="00F85F3F" w:rsidP="00F85F3F">
      <w:pPr>
        <w:spacing w:after="0" w:line="240" w:lineRule="auto"/>
        <w:ind w:firstLine="720"/>
        <w:jc w:val="both"/>
        <w:rPr>
          <w:rFonts w:ascii="Times New Roman" w:hAnsi="Times New Roman"/>
          <w:b/>
          <w:sz w:val="26"/>
          <w:szCs w:val="26"/>
        </w:rPr>
      </w:pPr>
    </w:p>
    <w:p w:rsidR="000A5E64" w:rsidRPr="004005B3" w:rsidRDefault="000A5E64" w:rsidP="00F85F3F">
      <w:pPr>
        <w:spacing w:after="0" w:line="240" w:lineRule="auto"/>
        <w:ind w:firstLine="720"/>
        <w:jc w:val="both"/>
        <w:rPr>
          <w:rFonts w:ascii="Times New Roman" w:hAnsi="Times New Roman"/>
          <w:b/>
          <w:sz w:val="26"/>
          <w:szCs w:val="26"/>
        </w:rPr>
      </w:pPr>
    </w:p>
    <w:p w:rsidR="000A5E64" w:rsidRPr="004005B3" w:rsidRDefault="000A5E64" w:rsidP="00F85F3F">
      <w:pPr>
        <w:spacing w:after="0" w:line="240" w:lineRule="auto"/>
        <w:ind w:firstLine="720"/>
        <w:jc w:val="both"/>
        <w:rPr>
          <w:rFonts w:ascii="Times New Roman" w:hAnsi="Times New Roman"/>
          <w:b/>
          <w:sz w:val="26"/>
          <w:szCs w:val="26"/>
        </w:rPr>
      </w:pPr>
    </w:p>
    <w:p w:rsidR="003453B1" w:rsidRPr="004005B3" w:rsidRDefault="003453B1" w:rsidP="000A5E64">
      <w:pPr>
        <w:pStyle w:val="ListParagraph"/>
        <w:numPr>
          <w:ilvl w:val="0"/>
          <w:numId w:val="3"/>
        </w:numPr>
        <w:spacing w:after="0" w:line="240" w:lineRule="auto"/>
        <w:ind w:left="360"/>
        <w:contextualSpacing w:val="0"/>
        <w:jc w:val="both"/>
        <w:rPr>
          <w:rStyle w:val="CommentReference"/>
          <w:rFonts w:ascii="Times New Roman" w:hAnsi="Times New Roman"/>
          <w:b/>
          <w:sz w:val="26"/>
          <w:szCs w:val="26"/>
        </w:rPr>
      </w:pPr>
      <w:r w:rsidRPr="004005B3">
        <w:rPr>
          <w:rFonts w:ascii="Times New Roman" w:hAnsi="Times New Roman"/>
          <w:b/>
          <w:sz w:val="26"/>
          <w:szCs w:val="26"/>
        </w:rPr>
        <w:lastRenderedPageBreak/>
        <w:t>Ascertainment of Loss And Deductibility Of Bad Debt</w:t>
      </w:r>
    </w:p>
    <w:p w:rsidR="003453B1" w:rsidRPr="004005B3" w:rsidRDefault="003453B1" w:rsidP="000A5E64">
      <w:pPr>
        <w:pStyle w:val="ListParagraph"/>
        <w:numPr>
          <w:ilvl w:val="1"/>
          <w:numId w:val="3"/>
        </w:numPr>
        <w:spacing w:after="0" w:line="240" w:lineRule="auto"/>
        <w:ind w:left="360"/>
        <w:contextualSpacing w:val="0"/>
        <w:jc w:val="both"/>
        <w:rPr>
          <w:rFonts w:ascii="Times New Roman" w:hAnsi="Times New Roman"/>
          <w:b/>
          <w:sz w:val="26"/>
          <w:szCs w:val="26"/>
        </w:rPr>
      </w:pPr>
      <w:r w:rsidRPr="004005B3">
        <w:rPr>
          <w:rFonts w:ascii="Times New Roman" w:hAnsi="Times New Roman"/>
          <w:b/>
          <w:sz w:val="26"/>
          <w:szCs w:val="26"/>
        </w:rPr>
        <w:t>Allowable Losses</w:t>
      </w:r>
    </w:p>
    <w:p w:rsidR="00F85F3F" w:rsidRPr="004005B3" w:rsidRDefault="003453B1" w:rsidP="000A5E64">
      <w:pPr>
        <w:spacing w:after="0" w:line="240" w:lineRule="auto"/>
        <w:jc w:val="both"/>
        <w:rPr>
          <w:rFonts w:ascii="Times New Roman" w:hAnsi="Times New Roman"/>
          <w:sz w:val="26"/>
          <w:szCs w:val="26"/>
        </w:rPr>
      </w:pPr>
      <w:r w:rsidRPr="004005B3">
        <w:rPr>
          <w:rFonts w:ascii="Times New Roman" w:hAnsi="Times New Roman"/>
          <w:sz w:val="26"/>
          <w:szCs w:val="26"/>
        </w:rPr>
        <w:t>In ascertaining profit, there are some deductions statutorily allowed</w:t>
      </w:r>
      <w:r w:rsidRPr="004005B3">
        <w:rPr>
          <w:rStyle w:val="FootnoteReference"/>
          <w:rFonts w:ascii="Times New Roman" w:hAnsi="Times New Roman"/>
          <w:sz w:val="26"/>
          <w:szCs w:val="26"/>
        </w:rPr>
        <w:footnoteReference w:id="25"/>
      </w:r>
      <w:r w:rsidRPr="004005B3">
        <w:rPr>
          <w:rFonts w:ascii="Times New Roman" w:hAnsi="Times New Roman"/>
          <w:sz w:val="26"/>
          <w:szCs w:val="26"/>
        </w:rPr>
        <w:t>and the whole process begins with the preparation of financial statements or accounts in accordance with general acceptable accounting principles and the provisions of CAMA.</w:t>
      </w:r>
      <w:r w:rsidRPr="004005B3">
        <w:rPr>
          <w:rStyle w:val="FootnoteReference"/>
          <w:rFonts w:ascii="Times New Roman" w:hAnsi="Times New Roman"/>
          <w:sz w:val="26"/>
          <w:szCs w:val="26"/>
        </w:rPr>
        <w:footnoteReference w:id="26"/>
      </w:r>
    </w:p>
    <w:p w:rsidR="003E0905" w:rsidRPr="004005B3" w:rsidRDefault="003453B1" w:rsidP="003E0905">
      <w:pPr>
        <w:spacing w:after="0" w:line="240" w:lineRule="auto"/>
        <w:ind w:firstLine="720"/>
        <w:jc w:val="both"/>
        <w:rPr>
          <w:rFonts w:ascii="Times New Roman" w:hAnsi="Times New Roman"/>
          <w:sz w:val="26"/>
          <w:szCs w:val="26"/>
        </w:rPr>
      </w:pPr>
      <w:r w:rsidRPr="004005B3">
        <w:rPr>
          <w:rFonts w:ascii="Times New Roman" w:hAnsi="Times New Roman"/>
          <w:sz w:val="26"/>
          <w:szCs w:val="26"/>
        </w:rPr>
        <w:t>Even though a deduction is allowed under the legislation, and that general bad debt provision may be set up by the bank, this is not in itself totally sufficient. The common practice and procedure adopted by most of the commercial enterprises is to provide against specific debts where the personal circumstances of the debtors or other external factors make it unlikely that the debt</w:t>
      </w:r>
      <w:r w:rsidR="000A5E64" w:rsidRPr="004005B3">
        <w:rPr>
          <w:rFonts w:ascii="Times New Roman" w:hAnsi="Times New Roman"/>
          <w:sz w:val="26"/>
          <w:szCs w:val="26"/>
        </w:rPr>
        <w:t xml:space="preserve"> would </w:t>
      </w:r>
      <w:r w:rsidRPr="004005B3">
        <w:rPr>
          <w:rFonts w:ascii="Times New Roman" w:hAnsi="Times New Roman"/>
          <w:sz w:val="26"/>
          <w:szCs w:val="26"/>
        </w:rPr>
        <w:t>be fully recovered.</w:t>
      </w:r>
      <w:r w:rsidRPr="004005B3">
        <w:rPr>
          <w:rStyle w:val="FootnoteReference"/>
          <w:rFonts w:ascii="Times New Roman" w:hAnsi="Times New Roman"/>
          <w:sz w:val="26"/>
          <w:szCs w:val="26"/>
        </w:rPr>
        <w:footnoteReference w:id="27"/>
      </w:r>
    </w:p>
    <w:p w:rsidR="003E0905" w:rsidRPr="004005B3" w:rsidRDefault="003453B1" w:rsidP="003E0905">
      <w:pPr>
        <w:spacing w:after="0" w:line="240" w:lineRule="auto"/>
        <w:ind w:firstLine="720"/>
        <w:jc w:val="both"/>
        <w:rPr>
          <w:rFonts w:ascii="Times New Roman" w:hAnsi="Times New Roman"/>
          <w:sz w:val="26"/>
          <w:szCs w:val="26"/>
        </w:rPr>
      </w:pPr>
      <w:r w:rsidRPr="004005B3">
        <w:rPr>
          <w:rFonts w:ascii="Times New Roman" w:hAnsi="Times New Roman"/>
          <w:sz w:val="26"/>
          <w:szCs w:val="26"/>
        </w:rPr>
        <w:t>In the banking business a deduction for bad debts is not just ordinarily available but only when each debt had been looked at specifically and assessed according to its particular circumstances. In that circumstances</w:t>
      </w:r>
      <w:r w:rsidR="000A5E64" w:rsidRPr="004005B3">
        <w:rPr>
          <w:rFonts w:ascii="Times New Roman" w:hAnsi="Times New Roman"/>
          <w:sz w:val="26"/>
          <w:szCs w:val="26"/>
        </w:rPr>
        <w:t>,</w:t>
      </w:r>
      <w:r w:rsidRPr="004005B3">
        <w:rPr>
          <w:rFonts w:ascii="Times New Roman" w:hAnsi="Times New Roman"/>
          <w:sz w:val="26"/>
          <w:szCs w:val="26"/>
        </w:rPr>
        <w:t xml:space="preserve"> the Federal Board of Inland Revenue may nevertheless give a deduction for provisions which are calculated on a reliable and scientific basis.</w:t>
      </w:r>
      <w:r w:rsidRPr="004005B3">
        <w:rPr>
          <w:rStyle w:val="FootnoteReference"/>
          <w:rFonts w:ascii="Times New Roman" w:hAnsi="Times New Roman"/>
          <w:sz w:val="26"/>
          <w:szCs w:val="26"/>
        </w:rPr>
        <w:footnoteReference w:id="28"/>
      </w:r>
      <w:r w:rsidRPr="004005B3">
        <w:rPr>
          <w:rFonts w:ascii="Times New Roman" w:hAnsi="Times New Roman"/>
          <w:sz w:val="26"/>
          <w:szCs w:val="26"/>
        </w:rPr>
        <w:t xml:space="preserve">  </w:t>
      </w:r>
    </w:p>
    <w:p w:rsidR="003E0905" w:rsidRPr="004005B3" w:rsidRDefault="003453B1" w:rsidP="003E0905">
      <w:pPr>
        <w:spacing w:after="0" w:line="240" w:lineRule="auto"/>
        <w:ind w:firstLine="720"/>
        <w:jc w:val="both"/>
        <w:rPr>
          <w:rFonts w:ascii="Times New Roman" w:hAnsi="Times New Roman"/>
          <w:sz w:val="26"/>
          <w:szCs w:val="26"/>
        </w:rPr>
      </w:pPr>
      <w:r w:rsidRPr="004005B3">
        <w:rPr>
          <w:rFonts w:ascii="Times New Roman" w:hAnsi="Times New Roman"/>
          <w:sz w:val="26"/>
          <w:szCs w:val="26"/>
        </w:rPr>
        <w:t xml:space="preserve">However, in the case of individual account, where assessments are on earnings basis, money owed to the business must be brought into account. A deduction is, however, allowed for debts proved to be bad and for those properly estimated to be </w:t>
      </w:r>
      <w:r w:rsidRPr="004005B3">
        <w:rPr>
          <w:rFonts w:ascii="Times New Roman" w:hAnsi="Times New Roman"/>
          <w:sz w:val="26"/>
          <w:szCs w:val="26"/>
        </w:rPr>
        <w:lastRenderedPageBreak/>
        <w:t>doubtful or are defaulted.</w:t>
      </w:r>
      <w:r w:rsidRPr="004005B3">
        <w:rPr>
          <w:rStyle w:val="FootnoteReference"/>
          <w:rFonts w:ascii="Times New Roman" w:hAnsi="Times New Roman"/>
          <w:sz w:val="26"/>
          <w:szCs w:val="26"/>
        </w:rPr>
        <w:footnoteReference w:id="29"/>
      </w:r>
      <w:r w:rsidRPr="004005B3">
        <w:rPr>
          <w:rFonts w:ascii="Times New Roman" w:hAnsi="Times New Roman"/>
          <w:sz w:val="26"/>
          <w:szCs w:val="26"/>
        </w:rPr>
        <w:t xml:space="preserve"> Therefore, if taxed on an earnings basis, an apportioned amount of money owed may be allowed as a deduction for tax purposes, provided that it is a revenue expense incurred wholly, exclusively, necessarily and reasonably for </w:t>
      </w:r>
      <w:r w:rsidR="003E0905" w:rsidRPr="004005B3">
        <w:rPr>
          <w:rFonts w:ascii="Times New Roman" w:hAnsi="Times New Roman"/>
          <w:sz w:val="26"/>
          <w:szCs w:val="26"/>
        </w:rPr>
        <w:t>the purpose of earning profits.</w:t>
      </w:r>
    </w:p>
    <w:p w:rsidR="003E0905" w:rsidRPr="004005B3" w:rsidRDefault="003453B1" w:rsidP="003E0905">
      <w:pPr>
        <w:spacing w:after="0" w:line="240" w:lineRule="auto"/>
        <w:ind w:firstLine="720"/>
        <w:jc w:val="both"/>
        <w:rPr>
          <w:rFonts w:ascii="Times New Roman" w:hAnsi="Times New Roman"/>
          <w:sz w:val="26"/>
          <w:szCs w:val="26"/>
        </w:rPr>
      </w:pPr>
      <w:r w:rsidRPr="004005B3">
        <w:rPr>
          <w:rFonts w:ascii="Times New Roman" w:hAnsi="Times New Roman"/>
          <w:sz w:val="26"/>
          <w:szCs w:val="26"/>
        </w:rPr>
        <w:t xml:space="preserve">Going by the provision of section </w:t>
      </w:r>
      <w:r w:rsidRPr="004005B3">
        <w:rPr>
          <w:rStyle w:val="CommentReference"/>
          <w:rFonts w:ascii="Times New Roman" w:hAnsi="Times New Roman"/>
          <w:sz w:val="26"/>
          <w:szCs w:val="26"/>
        </w:rPr>
        <w:t>29(2)</w:t>
      </w:r>
      <w:r w:rsidRPr="004005B3">
        <w:rPr>
          <w:rFonts w:ascii="Times New Roman" w:hAnsi="Times New Roman"/>
          <w:sz w:val="26"/>
          <w:szCs w:val="26"/>
        </w:rPr>
        <w:t xml:space="preserve"> of the Companies Income Tax Act, the amount of the loss to be allowed for tax purpose in a company should be that which the Board is satisfied as having been incurred by the company in a trade or business during a preceding year of assessment.</w:t>
      </w:r>
      <w:r w:rsidRPr="004005B3">
        <w:rPr>
          <w:rStyle w:val="FootnoteReference"/>
          <w:rFonts w:ascii="Times New Roman" w:hAnsi="Times New Roman"/>
          <w:sz w:val="26"/>
          <w:szCs w:val="26"/>
        </w:rPr>
        <w:footnoteReference w:id="30"/>
      </w:r>
      <w:r w:rsidRPr="004005B3">
        <w:rPr>
          <w:rFonts w:ascii="Times New Roman" w:hAnsi="Times New Roman"/>
          <w:sz w:val="26"/>
          <w:szCs w:val="26"/>
        </w:rPr>
        <w:t>The meaning of this is that in the banking business, the loss that would be relieved for tax purpose should be the one that occurred the year ended before the assessment period.   And in no circumstances shall the amount to be relieved exceed the total amount of the loss.</w:t>
      </w:r>
      <w:r w:rsidRPr="004005B3">
        <w:rPr>
          <w:rStyle w:val="FootnoteReference"/>
          <w:rFonts w:ascii="Times New Roman" w:hAnsi="Times New Roman"/>
          <w:sz w:val="26"/>
          <w:szCs w:val="26"/>
        </w:rPr>
        <w:footnoteReference w:id="31"/>
      </w:r>
    </w:p>
    <w:p w:rsidR="00085184" w:rsidRPr="004005B3" w:rsidRDefault="003453B1" w:rsidP="00085184">
      <w:pPr>
        <w:spacing w:after="0" w:line="240" w:lineRule="auto"/>
        <w:ind w:firstLine="720"/>
        <w:jc w:val="both"/>
        <w:rPr>
          <w:rFonts w:ascii="Times New Roman" w:hAnsi="Times New Roman"/>
          <w:sz w:val="26"/>
          <w:szCs w:val="26"/>
        </w:rPr>
      </w:pPr>
      <w:r w:rsidRPr="004005B3">
        <w:rPr>
          <w:rFonts w:ascii="Times New Roman" w:hAnsi="Times New Roman"/>
          <w:sz w:val="26"/>
          <w:szCs w:val="26"/>
        </w:rPr>
        <w:t>However, for an individual, if a loss occurred as a result of bad debts, relief is available either against any assessable income of the taxpayer for the year of assessment in which the loss was incurred</w:t>
      </w:r>
      <w:r w:rsidRPr="004005B3">
        <w:rPr>
          <w:rStyle w:val="FootnoteReference"/>
          <w:rFonts w:ascii="Times New Roman" w:hAnsi="Times New Roman"/>
          <w:sz w:val="26"/>
          <w:szCs w:val="26"/>
        </w:rPr>
        <w:footnoteReference w:id="32"/>
      </w:r>
      <w:r w:rsidRPr="004005B3">
        <w:rPr>
          <w:rFonts w:ascii="Times New Roman" w:hAnsi="Times New Roman"/>
          <w:sz w:val="26"/>
          <w:szCs w:val="26"/>
        </w:rPr>
        <w:t xml:space="preserve"> or </w:t>
      </w:r>
      <w:r w:rsidR="000A5E64" w:rsidRPr="004005B3">
        <w:rPr>
          <w:rFonts w:ascii="Times New Roman" w:hAnsi="Times New Roman"/>
          <w:sz w:val="26"/>
          <w:szCs w:val="26"/>
        </w:rPr>
        <w:t xml:space="preserve">through </w:t>
      </w:r>
      <w:r w:rsidRPr="004005B3">
        <w:rPr>
          <w:rFonts w:ascii="Times New Roman" w:hAnsi="Times New Roman"/>
          <w:sz w:val="26"/>
          <w:szCs w:val="26"/>
        </w:rPr>
        <w:t xml:space="preserve">“carry forward” </w:t>
      </w:r>
      <w:r w:rsidRPr="004005B3">
        <w:rPr>
          <w:rStyle w:val="CommentReference"/>
          <w:rFonts w:ascii="Times New Roman" w:hAnsi="Times New Roman"/>
          <w:sz w:val="26"/>
          <w:szCs w:val="26"/>
        </w:rPr>
        <w:t>a</w:t>
      </w:r>
      <w:r w:rsidRPr="004005B3">
        <w:rPr>
          <w:rFonts w:ascii="Times New Roman" w:hAnsi="Times New Roman"/>
          <w:sz w:val="26"/>
          <w:szCs w:val="26"/>
        </w:rPr>
        <w:t>gainst future assessable income from the particular trade in which the loss was incurred</w:t>
      </w:r>
      <w:r w:rsidR="00085184" w:rsidRPr="004005B3">
        <w:rPr>
          <w:rFonts w:ascii="Times New Roman" w:hAnsi="Times New Roman"/>
          <w:sz w:val="26"/>
          <w:szCs w:val="26"/>
        </w:rPr>
        <w:t>.</w:t>
      </w:r>
      <w:r w:rsidRPr="004005B3">
        <w:rPr>
          <w:rStyle w:val="FootnoteReference"/>
          <w:rFonts w:ascii="Times New Roman" w:hAnsi="Times New Roman"/>
          <w:sz w:val="26"/>
          <w:szCs w:val="26"/>
        </w:rPr>
        <w:footnoteReference w:id="33"/>
      </w:r>
    </w:p>
    <w:p w:rsidR="00085184" w:rsidRPr="004005B3" w:rsidRDefault="003453B1" w:rsidP="00085184">
      <w:pPr>
        <w:spacing w:after="0" w:line="240" w:lineRule="auto"/>
        <w:ind w:firstLine="720"/>
        <w:jc w:val="both"/>
        <w:rPr>
          <w:rFonts w:ascii="Times New Roman" w:hAnsi="Times New Roman"/>
          <w:sz w:val="26"/>
          <w:szCs w:val="26"/>
        </w:rPr>
      </w:pPr>
      <w:r w:rsidRPr="004005B3">
        <w:rPr>
          <w:rFonts w:ascii="Times New Roman" w:hAnsi="Times New Roman"/>
          <w:sz w:val="26"/>
          <w:szCs w:val="26"/>
        </w:rPr>
        <w:lastRenderedPageBreak/>
        <w:t>Even though losses can be carried forward for a maximum of four years following that in which they are incurred, but a relief can only be given against profit from same trade or business in which the loss was incurred. However, losses incurred by any company that is engag</w:t>
      </w:r>
      <w:r w:rsidR="007C75C5" w:rsidRPr="004005B3">
        <w:rPr>
          <w:rFonts w:ascii="Times New Roman" w:hAnsi="Times New Roman"/>
          <w:sz w:val="26"/>
          <w:szCs w:val="26"/>
        </w:rPr>
        <w:t>ed</w:t>
      </w:r>
      <w:r w:rsidRPr="004005B3">
        <w:rPr>
          <w:rFonts w:ascii="Times New Roman" w:hAnsi="Times New Roman"/>
          <w:sz w:val="26"/>
          <w:szCs w:val="26"/>
        </w:rPr>
        <w:t xml:space="preserve"> in agricultural trade or business can be carried forward with no time limit. The loss available for relief should be computed on the same basis as is the computation of assessable profit for a year of assessment. Imperatively, however, where a relief is sought the whole amount of loss must be set off so far as it is possible and any balance may be carried forward.</w:t>
      </w:r>
      <w:r w:rsidRPr="004005B3">
        <w:rPr>
          <w:rStyle w:val="FootnoteReference"/>
          <w:rFonts w:ascii="Times New Roman" w:hAnsi="Times New Roman"/>
          <w:sz w:val="26"/>
          <w:szCs w:val="26"/>
        </w:rPr>
        <w:footnoteReference w:id="34"/>
      </w:r>
    </w:p>
    <w:p w:rsidR="00085184" w:rsidRPr="004005B3" w:rsidRDefault="003453B1" w:rsidP="00085184">
      <w:pPr>
        <w:spacing w:after="0" w:line="240" w:lineRule="auto"/>
        <w:ind w:firstLine="720"/>
        <w:jc w:val="both"/>
        <w:rPr>
          <w:rFonts w:ascii="Times New Roman" w:hAnsi="Times New Roman"/>
          <w:sz w:val="26"/>
          <w:szCs w:val="26"/>
        </w:rPr>
      </w:pPr>
      <w:r w:rsidRPr="004005B3">
        <w:rPr>
          <w:rFonts w:ascii="Times New Roman" w:hAnsi="Times New Roman"/>
          <w:sz w:val="26"/>
          <w:szCs w:val="26"/>
        </w:rPr>
        <w:t>In a nutshell, no sum shall be deducted in respect of any debts, except bad debts proved to be such, and doubtful debts to the extent that they are respectively estimated to be bad, and in the case of bankruptcy or insolvency o</w:t>
      </w:r>
      <w:r w:rsidR="007C75C5" w:rsidRPr="004005B3">
        <w:rPr>
          <w:rFonts w:ascii="Times New Roman" w:hAnsi="Times New Roman"/>
          <w:sz w:val="26"/>
          <w:szCs w:val="26"/>
        </w:rPr>
        <w:t>f</w:t>
      </w:r>
      <w:r w:rsidRPr="004005B3">
        <w:rPr>
          <w:rFonts w:ascii="Times New Roman" w:hAnsi="Times New Roman"/>
          <w:sz w:val="26"/>
          <w:szCs w:val="26"/>
        </w:rPr>
        <w:t xml:space="preserve"> a debtor, the amount which may reasonably be expected to be received on any such debt shall be deemed to be the value thereof.</w:t>
      </w:r>
    </w:p>
    <w:p w:rsidR="001B5034" w:rsidRPr="004005B3" w:rsidRDefault="003453B1" w:rsidP="001B5034">
      <w:pPr>
        <w:spacing w:after="0" w:line="240" w:lineRule="auto"/>
        <w:ind w:firstLine="720"/>
        <w:jc w:val="both"/>
        <w:rPr>
          <w:rFonts w:ascii="Times New Roman" w:hAnsi="Times New Roman"/>
          <w:sz w:val="26"/>
          <w:szCs w:val="26"/>
        </w:rPr>
      </w:pPr>
      <w:r w:rsidRPr="004005B3">
        <w:rPr>
          <w:rFonts w:ascii="Times New Roman" w:hAnsi="Times New Roman"/>
          <w:sz w:val="26"/>
          <w:szCs w:val="26"/>
        </w:rPr>
        <w:t>Furthermore, the Federal Board of Inland Revenue is also allowed</w:t>
      </w:r>
      <w:r w:rsidRPr="004005B3">
        <w:rPr>
          <w:rStyle w:val="FootnoteReference"/>
          <w:rFonts w:ascii="Times New Roman" w:hAnsi="Times New Roman"/>
          <w:sz w:val="26"/>
          <w:szCs w:val="26"/>
        </w:rPr>
        <w:footnoteReference w:id="35"/>
      </w:r>
      <w:r w:rsidRPr="004005B3">
        <w:rPr>
          <w:rFonts w:ascii="Times New Roman" w:hAnsi="Times New Roman"/>
          <w:sz w:val="26"/>
          <w:szCs w:val="26"/>
        </w:rPr>
        <w:t xml:space="preserve"> to examine the specific bad debt provision made by the taxpayer (bank) and look at the consideration of factors leading to that provision being made and that in appropriate cases it may challenge same.</w:t>
      </w:r>
      <w:r w:rsidRPr="004005B3">
        <w:rPr>
          <w:rStyle w:val="FootnoteReference"/>
          <w:rFonts w:ascii="Times New Roman" w:hAnsi="Times New Roman"/>
          <w:sz w:val="26"/>
          <w:szCs w:val="26"/>
        </w:rPr>
        <w:footnoteReference w:id="36"/>
      </w:r>
      <w:r w:rsidRPr="004005B3">
        <w:rPr>
          <w:rFonts w:ascii="Times New Roman" w:hAnsi="Times New Roman"/>
          <w:sz w:val="26"/>
          <w:szCs w:val="26"/>
        </w:rPr>
        <w:t xml:space="preserve"> The major thing to note in the effort of knowing which of the activities of the loan will qualify for loss or bad debt arising out of trade which will qualify for relief and the one that will not qualify is that the loss must directly arise from the banking trade and not any </w:t>
      </w:r>
      <w:r w:rsidR="007C75C5" w:rsidRPr="004005B3">
        <w:rPr>
          <w:rFonts w:ascii="Times New Roman" w:hAnsi="Times New Roman"/>
          <w:sz w:val="26"/>
          <w:szCs w:val="26"/>
        </w:rPr>
        <w:t xml:space="preserve">incidental </w:t>
      </w:r>
      <w:r w:rsidRPr="004005B3">
        <w:rPr>
          <w:rFonts w:ascii="Times New Roman" w:hAnsi="Times New Roman"/>
          <w:sz w:val="26"/>
          <w:szCs w:val="26"/>
        </w:rPr>
        <w:t>circumstances thereto.</w:t>
      </w:r>
    </w:p>
    <w:p w:rsidR="003453B1" w:rsidRPr="004005B3" w:rsidRDefault="003453B1" w:rsidP="001B5034">
      <w:pPr>
        <w:spacing w:after="0" w:line="240" w:lineRule="auto"/>
        <w:ind w:firstLine="720"/>
        <w:jc w:val="both"/>
        <w:rPr>
          <w:rFonts w:ascii="Times New Roman" w:hAnsi="Times New Roman"/>
          <w:sz w:val="26"/>
          <w:szCs w:val="26"/>
        </w:rPr>
      </w:pPr>
      <w:r w:rsidRPr="004005B3">
        <w:rPr>
          <w:rFonts w:ascii="Times New Roman" w:hAnsi="Times New Roman"/>
          <w:sz w:val="26"/>
          <w:szCs w:val="26"/>
        </w:rPr>
        <w:lastRenderedPageBreak/>
        <w:t xml:space="preserve">This qualification was further clarified in the case of </w:t>
      </w:r>
      <w:r w:rsidRPr="004005B3">
        <w:rPr>
          <w:rFonts w:ascii="Times New Roman" w:hAnsi="Times New Roman"/>
          <w:i/>
          <w:sz w:val="26"/>
          <w:szCs w:val="26"/>
        </w:rPr>
        <w:t>Curtis v Oldfield</w:t>
      </w:r>
      <w:r w:rsidRPr="004005B3">
        <w:rPr>
          <w:rFonts w:ascii="Times New Roman" w:hAnsi="Times New Roman"/>
          <w:sz w:val="26"/>
          <w:szCs w:val="26"/>
        </w:rPr>
        <w:t>,</w:t>
      </w:r>
      <w:r w:rsidRPr="004005B3">
        <w:rPr>
          <w:rStyle w:val="FootnoteReference"/>
          <w:rFonts w:ascii="Times New Roman" w:hAnsi="Times New Roman"/>
          <w:sz w:val="26"/>
          <w:szCs w:val="26"/>
        </w:rPr>
        <w:footnoteReference w:id="37"/>
      </w:r>
      <w:r w:rsidRPr="004005B3">
        <w:rPr>
          <w:rFonts w:ascii="Times New Roman" w:hAnsi="Times New Roman"/>
          <w:sz w:val="26"/>
          <w:szCs w:val="26"/>
        </w:rPr>
        <w:t xml:space="preserve"> where the Managing Director of a company had used the company’s bank account to pay his own private bills. It was held that the loss so incurred by the company was not deductible. In the words of Rowlatt J</w:t>
      </w:r>
      <w:r w:rsidR="001B5034" w:rsidRPr="004005B3">
        <w:rPr>
          <w:rFonts w:ascii="Times New Roman" w:hAnsi="Times New Roman"/>
          <w:sz w:val="26"/>
          <w:szCs w:val="26"/>
        </w:rPr>
        <w:t>:</w:t>
      </w:r>
    </w:p>
    <w:p w:rsidR="001B5034" w:rsidRPr="004005B3" w:rsidRDefault="001B5034" w:rsidP="001B5034">
      <w:pPr>
        <w:spacing w:after="0" w:line="240" w:lineRule="auto"/>
        <w:ind w:left="720" w:right="720"/>
        <w:jc w:val="both"/>
        <w:rPr>
          <w:rFonts w:ascii="Times New Roman" w:hAnsi="Times New Roman"/>
          <w:sz w:val="24"/>
          <w:szCs w:val="24"/>
        </w:rPr>
      </w:pPr>
    </w:p>
    <w:p w:rsidR="003453B1" w:rsidRPr="004005B3" w:rsidRDefault="003453B1" w:rsidP="001B5034">
      <w:pPr>
        <w:spacing w:after="0" w:line="240" w:lineRule="auto"/>
        <w:ind w:left="720" w:right="720"/>
        <w:jc w:val="both"/>
        <w:rPr>
          <w:rFonts w:ascii="Times New Roman" w:hAnsi="Times New Roman"/>
          <w:sz w:val="24"/>
          <w:szCs w:val="24"/>
        </w:rPr>
      </w:pPr>
      <w:r w:rsidRPr="004005B3">
        <w:rPr>
          <w:rFonts w:ascii="Times New Roman" w:hAnsi="Times New Roman"/>
          <w:sz w:val="24"/>
          <w:szCs w:val="24"/>
        </w:rPr>
        <w:t>If you have a business… in the course of which you have to employ subordinates and owing to the negligence or the dishonesty of the</w:t>
      </w:r>
      <w:r w:rsidR="001B5034" w:rsidRPr="004005B3">
        <w:rPr>
          <w:rFonts w:ascii="Times New Roman" w:hAnsi="Times New Roman"/>
          <w:sz w:val="24"/>
          <w:szCs w:val="24"/>
        </w:rPr>
        <w:t xml:space="preserve"> </w:t>
      </w:r>
      <w:r w:rsidRPr="004005B3">
        <w:rPr>
          <w:rFonts w:ascii="Times New Roman" w:hAnsi="Times New Roman"/>
          <w:sz w:val="24"/>
          <w:szCs w:val="24"/>
        </w:rPr>
        <w:t>subordinates, some of the receipts of the business do not find their way</w:t>
      </w:r>
      <w:r w:rsidR="001B5034" w:rsidRPr="004005B3">
        <w:rPr>
          <w:rFonts w:ascii="Times New Roman" w:hAnsi="Times New Roman"/>
          <w:sz w:val="24"/>
          <w:szCs w:val="24"/>
        </w:rPr>
        <w:t xml:space="preserve"> </w:t>
      </w:r>
      <w:r w:rsidRPr="004005B3">
        <w:rPr>
          <w:rFonts w:ascii="Times New Roman" w:hAnsi="Times New Roman"/>
          <w:sz w:val="24"/>
          <w:szCs w:val="24"/>
        </w:rPr>
        <w:t>into the till, or some of the bills are not collected at all, or something of</w:t>
      </w:r>
      <w:r w:rsidR="001B5034" w:rsidRPr="004005B3">
        <w:rPr>
          <w:rFonts w:ascii="Times New Roman" w:hAnsi="Times New Roman"/>
          <w:sz w:val="24"/>
          <w:szCs w:val="24"/>
        </w:rPr>
        <w:t xml:space="preserve"> </w:t>
      </w:r>
      <w:r w:rsidRPr="004005B3">
        <w:rPr>
          <w:rFonts w:ascii="Times New Roman" w:hAnsi="Times New Roman"/>
          <w:sz w:val="24"/>
          <w:szCs w:val="24"/>
        </w:rPr>
        <w:t>that sort, that may be an expense connected with and arising out of</w:t>
      </w:r>
      <w:r w:rsidR="001B5034" w:rsidRPr="004005B3">
        <w:rPr>
          <w:rFonts w:ascii="Times New Roman" w:hAnsi="Times New Roman"/>
          <w:sz w:val="24"/>
          <w:szCs w:val="24"/>
        </w:rPr>
        <w:t xml:space="preserve"> </w:t>
      </w:r>
      <w:r w:rsidRPr="004005B3">
        <w:rPr>
          <w:rFonts w:ascii="Times New Roman" w:hAnsi="Times New Roman"/>
          <w:sz w:val="24"/>
          <w:szCs w:val="24"/>
        </w:rPr>
        <w:t>the trade in the most complete sense of the word.</w:t>
      </w:r>
    </w:p>
    <w:p w:rsidR="001B5034" w:rsidRPr="004005B3" w:rsidRDefault="001B5034" w:rsidP="001B5034">
      <w:pPr>
        <w:spacing w:after="0" w:line="240" w:lineRule="auto"/>
        <w:ind w:left="720" w:right="720"/>
        <w:jc w:val="both"/>
        <w:rPr>
          <w:rStyle w:val="CommentReference"/>
          <w:rFonts w:ascii="Times New Roman" w:hAnsi="Times New Roman"/>
          <w:sz w:val="26"/>
          <w:szCs w:val="26"/>
        </w:rPr>
      </w:pPr>
    </w:p>
    <w:p w:rsidR="003453B1" w:rsidRPr="004005B3" w:rsidRDefault="003453B1" w:rsidP="001B5034">
      <w:pPr>
        <w:spacing w:after="0" w:line="240" w:lineRule="auto"/>
        <w:ind w:firstLine="720"/>
        <w:jc w:val="both"/>
        <w:rPr>
          <w:rFonts w:ascii="Times New Roman" w:hAnsi="Times New Roman"/>
          <w:sz w:val="26"/>
          <w:szCs w:val="26"/>
        </w:rPr>
      </w:pPr>
      <w:r w:rsidRPr="004005B3">
        <w:rPr>
          <w:rFonts w:ascii="Times New Roman" w:hAnsi="Times New Roman"/>
          <w:sz w:val="26"/>
          <w:szCs w:val="26"/>
        </w:rPr>
        <w:t>The implication of the above statement is that, to qualify for a loss or bad debt in banking industries, such loss must have arisen directly from the banking business or trade and not any attached circumstances thereto.  In simple term, a loss incurred on structural facilities like building and advert cannot qualify for loss, but any loss incur</w:t>
      </w:r>
      <w:r w:rsidR="00467B12" w:rsidRPr="004005B3">
        <w:rPr>
          <w:rFonts w:ascii="Times New Roman" w:hAnsi="Times New Roman"/>
          <w:sz w:val="26"/>
          <w:szCs w:val="26"/>
        </w:rPr>
        <w:t xml:space="preserve">red </w:t>
      </w:r>
      <w:r w:rsidRPr="004005B3">
        <w:rPr>
          <w:rFonts w:ascii="Times New Roman" w:hAnsi="Times New Roman"/>
          <w:sz w:val="26"/>
          <w:szCs w:val="26"/>
        </w:rPr>
        <w:t xml:space="preserve">in account making, service payment that </w:t>
      </w:r>
      <w:r w:rsidR="00467B12" w:rsidRPr="004005B3">
        <w:rPr>
          <w:rFonts w:ascii="Times New Roman" w:hAnsi="Times New Roman"/>
          <w:sz w:val="26"/>
          <w:szCs w:val="26"/>
        </w:rPr>
        <w:t xml:space="preserve">arose </w:t>
      </w:r>
      <w:r w:rsidRPr="004005B3">
        <w:rPr>
          <w:rFonts w:ascii="Times New Roman" w:hAnsi="Times New Roman"/>
          <w:sz w:val="26"/>
          <w:szCs w:val="26"/>
        </w:rPr>
        <w:t>direct</w:t>
      </w:r>
      <w:r w:rsidR="00467B12" w:rsidRPr="004005B3">
        <w:rPr>
          <w:rFonts w:ascii="Times New Roman" w:hAnsi="Times New Roman"/>
          <w:sz w:val="26"/>
          <w:szCs w:val="26"/>
        </w:rPr>
        <w:t xml:space="preserve">ly </w:t>
      </w:r>
      <w:r w:rsidRPr="004005B3">
        <w:rPr>
          <w:rFonts w:ascii="Times New Roman" w:hAnsi="Times New Roman"/>
          <w:sz w:val="26"/>
          <w:szCs w:val="26"/>
        </w:rPr>
        <w:t>from banking business qualifies. In nut shell, the use of trading loss to reduce tax can be considered in two ways to wit: the use of losses incurred by the trade itself, and the use of losses incurred by someone else.</w:t>
      </w:r>
      <w:r w:rsidRPr="004005B3">
        <w:rPr>
          <w:rStyle w:val="FootnoteReference"/>
          <w:rFonts w:ascii="Times New Roman" w:hAnsi="Times New Roman"/>
          <w:sz w:val="26"/>
          <w:szCs w:val="26"/>
        </w:rPr>
        <w:footnoteReference w:id="38"/>
      </w:r>
      <w:r w:rsidRPr="004005B3">
        <w:rPr>
          <w:rFonts w:ascii="Times New Roman" w:hAnsi="Times New Roman"/>
          <w:sz w:val="26"/>
          <w:szCs w:val="26"/>
        </w:rPr>
        <w:t xml:space="preserve"> </w:t>
      </w:r>
    </w:p>
    <w:p w:rsidR="003453B1" w:rsidRPr="004005B3" w:rsidRDefault="003453B1" w:rsidP="003453B1">
      <w:pPr>
        <w:spacing w:after="0" w:line="240" w:lineRule="auto"/>
        <w:jc w:val="both"/>
        <w:rPr>
          <w:rFonts w:ascii="Times New Roman" w:hAnsi="Times New Roman"/>
          <w:sz w:val="26"/>
          <w:szCs w:val="26"/>
        </w:rPr>
      </w:pPr>
    </w:p>
    <w:p w:rsidR="003453B1" w:rsidRPr="004005B3" w:rsidRDefault="003453B1" w:rsidP="001B5034">
      <w:pPr>
        <w:spacing w:after="0" w:line="240" w:lineRule="auto"/>
        <w:jc w:val="both"/>
        <w:rPr>
          <w:rFonts w:ascii="Times New Roman" w:hAnsi="Times New Roman"/>
          <w:b/>
          <w:sz w:val="26"/>
          <w:szCs w:val="26"/>
        </w:rPr>
      </w:pPr>
      <w:r w:rsidRPr="004005B3">
        <w:rPr>
          <w:rFonts w:ascii="Times New Roman" w:hAnsi="Times New Roman"/>
          <w:b/>
          <w:sz w:val="26"/>
          <w:szCs w:val="26"/>
        </w:rPr>
        <w:t>3.2 Loan Losses</w:t>
      </w:r>
    </w:p>
    <w:p w:rsidR="003453B1" w:rsidRPr="004005B3" w:rsidRDefault="003453B1" w:rsidP="003453B1">
      <w:pPr>
        <w:spacing w:after="0" w:line="240" w:lineRule="auto"/>
        <w:jc w:val="both"/>
        <w:rPr>
          <w:rFonts w:ascii="Times New Roman" w:hAnsi="Times New Roman"/>
          <w:sz w:val="26"/>
          <w:szCs w:val="26"/>
        </w:rPr>
      </w:pPr>
      <w:r w:rsidRPr="004005B3">
        <w:rPr>
          <w:rFonts w:ascii="Times New Roman" w:hAnsi="Times New Roman"/>
          <w:sz w:val="26"/>
          <w:szCs w:val="26"/>
        </w:rPr>
        <w:t xml:space="preserve">In March 2010, in a bid to solve the issue of bad loan in the Nigerian banking sector, the Asset Management Corporation of Nigeria bought extra #1 trillion bad loans for N600 billion. </w:t>
      </w:r>
      <w:r w:rsidRPr="004005B3">
        <w:rPr>
          <w:rFonts w:ascii="Times New Roman" w:hAnsi="Times New Roman"/>
          <w:sz w:val="26"/>
          <w:szCs w:val="26"/>
        </w:rPr>
        <w:lastRenderedPageBreak/>
        <w:t>According to the Managing Director of the Asset Management Corporation of Nigeria</w:t>
      </w:r>
      <w:r w:rsidRPr="004005B3">
        <w:rPr>
          <w:rStyle w:val="FootnoteReference"/>
          <w:rFonts w:ascii="Times New Roman" w:hAnsi="Times New Roman"/>
          <w:sz w:val="26"/>
          <w:szCs w:val="26"/>
        </w:rPr>
        <w:footnoteReference w:id="39"/>
      </w:r>
      <w:r w:rsidR="007147FB" w:rsidRPr="004005B3">
        <w:rPr>
          <w:rFonts w:ascii="Times New Roman" w:hAnsi="Times New Roman"/>
          <w:sz w:val="26"/>
          <w:szCs w:val="26"/>
        </w:rPr>
        <w:t xml:space="preserve"> this was done so that:</w:t>
      </w:r>
    </w:p>
    <w:p w:rsidR="007147FB" w:rsidRPr="004005B3" w:rsidRDefault="007147FB" w:rsidP="007147FB">
      <w:pPr>
        <w:tabs>
          <w:tab w:val="left" w:pos="8370"/>
        </w:tabs>
        <w:spacing w:after="0" w:line="240" w:lineRule="auto"/>
        <w:ind w:left="720" w:right="720"/>
        <w:jc w:val="both"/>
        <w:rPr>
          <w:rFonts w:ascii="Times New Roman" w:hAnsi="Times New Roman"/>
          <w:sz w:val="26"/>
          <w:szCs w:val="26"/>
        </w:rPr>
      </w:pPr>
    </w:p>
    <w:p w:rsidR="003453B1" w:rsidRPr="004005B3" w:rsidRDefault="003453B1" w:rsidP="007147FB">
      <w:pPr>
        <w:tabs>
          <w:tab w:val="left" w:pos="8370"/>
        </w:tabs>
        <w:spacing w:after="0" w:line="240" w:lineRule="auto"/>
        <w:ind w:left="720" w:right="720"/>
        <w:jc w:val="both"/>
        <w:rPr>
          <w:rFonts w:ascii="Times New Roman" w:hAnsi="Times New Roman"/>
          <w:sz w:val="24"/>
          <w:szCs w:val="24"/>
        </w:rPr>
      </w:pPr>
      <w:r w:rsidRPr="004005B3">
        <w:rPr>
          <w:rFonts w:ascii="Times New Roman" w:hAnsi="Times New Roman"/>
          <w:sz w:val="24"/>
          <w:szCs w:val="24"/>
        </w:rPr>
        <w:t>…the banks, instead of being stuck with liquid non- performing assets have bonds that they will cash as they make new loans, and use the proceeds to fund new loans. They can create new portfolio of loans in line with the CBN’s prudential guidelines. And as they make loans</w:t>
      </w:r>
      <w:r w:rsidR="00467B12" w:rsidRPr="004005B3">
        <w:rPr>
          <w:rFonts w:ascii="Times New Roman" w:hAnsi="Times New Roman"/>
          <w:sz w:val="24"/>
          <w:szCs w:val="24"/>
        </w:rPr>
        <w:t>,</w:t>
      </w:r>
      <w:r w:rsidRPr="004005B3">
        <w:rPr>
          <w:rFonts w:ascii="Times New Roman" w:hAnsi="Times New Roman"/>
          <w:sz w:val="24"/>
          <w:szCs w:val="24"/>
        </w:rPr>
        <w:t xml:space="preserve"> they will be able to fund them.</w:t>
      </w:r>
    </w:p>
    <w:p w:rsidR="003453B1" w:rsidRPr="004005B3" w:rsidRDefault="003453B1" w:rsidP="003453B1">
      <w:pPr>
        <w:spacing w:after="0" w:line="240" w:lineRule="auto"/>
        <w:jc w:val="both"/>
        <w:rPr>
          <w:rFonts w:ascii="Times New Roman" w:hAnsi="Times New Roman"/>
          <w:sz w:val="26"/>
          <w:szCs w:val="26"/>
        </w:rPr>
      </w:pPr>
    </w:p>
    <w:p w:rsidR="00F650A3" w:rsidRPr="004005B3" w:rsidRDefault="003453B1" w:rsidP="00F650A3">
      <w:pPr>
        <w:spacing w:after="0" w:line="240" w:lineRule="auto"/>
        <w:ind w:firstLine="720"/>
        <w:jc w:val="both"/>
        <w:rPr>
          <w:rFonts w:ascii="Times New Roman" w:hAnsi="Times New Roman"/>
          <w:sz w:val="26"/>
          <w:szCs w:val="26"/>
        </w:rPr>
      </w:pPr>
      <w:r w:rsidRPr="004005B3">
        <w:rPr>
          <w:rFonts w:ascii="Times New Roman" w:hAnsi="Times New Roman"/>
          <w:sz w:val="26"/>
          <w:szCs w:val="26"/>
        </w:rPr>
        <w:t>In ascertaining the assessable income of a taxpayer for a year of assessment, relief is given for the amount of any loss incurred by or in a trade, business, profession or vocation carried on by the taxpayer.</w:t>
      </w:r>
      <w:r w:rsidRPr="004005B3">
        <w:rPr>
          <w:rStyle w:val="FootnoteReference"/>
          <w:rFonts w:ascii="Times New Roman" w:hAnsi="Times New Roman"/>
          <w:sz w:val="26"/>
          <w:szCs w:val="26"/>
        </w:rPr>
        <w:footnoteReference w:id="40"/>
      </w:r>
      <w:r w:rsidRPr="004005B3">
        <w:rPr>
          <w:rFonts w:ascii="Times New Roman" w:hAnsi="Times New Roman"/>
          <w:sz w:val="26"/>
          <w:szCs w:val="26"/>
        </w:rPr>
        <w:t xml:space="preserve"> Any amount recovered with respect to debts written off previously is treated as profit of the year in which such amount was recovered and written back to profit and loss account.</w:t>
      </w:r>
      <w:r w:rsidRPr="004005B3">
        <w:rPr>
          <w:rStyle w:val="FootnoteReference"/>
          <w:rFonts w:ascii="Times New Roman" w:hAnsi="Times New Roman"/>
          <w:sz w:val="26"/>
          <w:szCs w:val="26"/>
        </w:rPr>
        <w:footnoteReference w:id="41"/>
      </w:r>
    </w:p>
    <w:p w:rsidR="00F650A3" w:rsidRPr="004005B3" w:rsidRDefault="003453B1" w:rsidP="00F650A3">
      <w:pPr>
        <w:spacing w:after="0" w:line="240" w:lineRule="auto"/>
        <w:ind w:firstLine="720"/>
        <w:jc w:val="both"/>
        <w:rPr>
          <w:rFonts w:ascii="Times New Roman" w:hAnsi="Times New Roman"/>
          <w:sz w:val="26"/>
          <w:szCs w:val="26"/>
        </w:rPr>
      </w:pPr>
      <w:r w:rsidRPr="004005B3">
        <w:rPr>
          <w:rFonts w:ascii="Times New Roman" w:hAnsi="Times New Roman"/>
          <w:sz w:val="26"/>
          <w:szCs w:val="26"/>
        </w:rPr>
        <w:t>Given the importance of loans in bank assets and the cost of bad debts, the treatment of losses is one of the central tax policy issues relating to the taxation of banking.  Losses are an inevitable cost that is incurred in order to earn income and these losses should be recognized as an expense for both financial and tax purposes.</w:t>
      </w:r>
      <w:r w:rsidRPr="004005B3">
        <w:rPr>
          <w:rStyle w:val="FootnoteReference"/>
          <w:rFonts w:ascii="Times New Roman" w:hAnsi="Times New Roman"/>
          <w:sz w:val="26"/>
          <w:szCs w:val="26"/>
        </w:rPr>
        <w:footnoteReference w:id="42"/>
      </w:r>
      <w:r w:rsidRPr="004005B3">
        <w:rPr>
          <w:rFonts w:ascii="Times New Roman" w:hAnsi="Times New Roman"/>
          <w:sz w:val="26"/>
          <w:szCs w:val="26"/>
        </w:rPr>
        <w:t xml:space="preserve"> On a bank’s financial statement, the values of </w:t>
      </w:r>
      <w:r w:rsidRPr="004005B3">
        <w:rPr>
          <w:rFonts w:ascii="Times New Roman" w:hAnsi="Times New Roman"/>
          <w:sz w:val="26"/>
          <w:szCs w:val="26"/>
        </w:rPr>
        <w:lastRenderedPageBreak/>
        <w:t>loans are often shown on a net basis (that is, the face value of the loans co</w:t>
      </w:r>
      <w:r w:rsidR="00467B12" w:rsidRPr="004005B3">
        <w:rPr>
          <w:rFonts w:ascii="Times New Roman" w:hAnsi="Times New Roman"/>
          <w:sz w:val="26"/>
          <w:szCs w:val="26"/>
        </w:rPr>
        <w:t>ll</w:t>
      </w:r>
      <w:r w:rsidRPr="004005B3">
        <w:rPr>
          <w:rFonts w:ascii="Times New Roman" w:hAnsi="Times New Roman"/>
          <w:sz w:val="26"/>
          <w:szCs w:val="26"/>
        </w:rPr>
        <w:t>ected by the estimated loss).</w:t>
      </w:r>
      <w:r w:rsidRPr="004005B3">
        <w:rPr>
          <w:rStyle w:val="FootnoteReference"/>
          <w:rFonts w:ascii="Times New Roman" w:hAnsi="Times New Roman"/>
          <w:sz w:val="26"/>
          <w:szCs w:val="26"/>
        </w:rPr>
        <w:footnoteReference w:id="43"/>
      </w:r>
    </w:p>
    <w:p w:rsidR="003453B1" w:rsidRPr="004005B3" w:rsidRDefault="003453B1" w:rsidP="00F650A3">
      <w:pPr>
        <w:spacing w:after="0" w:line="240" w:lineRule="auto"/>
        <w:ind w:firstLine="720"/>
        <w:jc w:val="both"/>
        <w:rPr>
          <w:rFonts w:ascii="Times New Roman" w:hAnsi="Times New Roman"/>
          <w:sz w:val="26"/>
          <w:szCs w:val="26"/>
        </w:rPr>
      </w:pPr>
      <w:r w:rsidRPr="004005B3">
        <w:rPr>
          <w:rFonts w:ascii="Times New Roman" w:hAnsi="Times New Roman"/>
          <w:sz w:val="26"/>
          <w:szCs w:val="26"/>
        </w:rPr>
        <w:t>In nut shell, in order not to under-provide for loan losses and to benefit maximally from loss provisioning; banks significantly want the tax rules for recognising loan losses to conform closely to regulating accounting standard, even though this may reduce income taxes paid by banks. This, the tax officials often are wary of</w:t>
      </w:r>
      <w:r w:rsidR="00F650A3" w:rsidRPr="004005B3">
        <w:rPr>
          <w:rFonts w:ascii="Times New Roman" w:hAnsi="Times New Roman"/>
          <w:sz w:val="26"/>
          <w:szCs w:val="26"/>
        </w:rPr>
        <w:t>.</w:t>
      </w:r>
      <w:r w:rsidRPr="004005B3">
        <w:rPr>
          <w:rStyle w:val="FootnoteReference"/>
          <w:rFonts w:ascii="Times New Roman" w:hAnsi="Times New Roman"/>
          <w:sz w:val="26"/>
          <w:szCs w:val="26"/>
        </w:rPr>
        <w:footnoteReference w:id="44"/>
      </w:r>
    </w:p>
    <w:p w:rsidR="003453B1" w:rsidRPr="004005B3" w:rsidRDefault="003453B1" w:rsidP="003453B1">
      <w:pPr>
        <w:tabs>
          <w:tab w:val="left" w:pos="3129"/>
        </w:tabs>
        <w:spacing w:after="0" w:line="240" w:lineRule="auto"/>
        <w:jc w:val="both"/>
        <w:rPr>
          <w:rFonts w:ascii="Times New Roman" w:hAnsi="Times New Roman"/>
          <w:sz w:val="26"/>
          <w:szCs w:val="26"/>
        </w:rPr>
      </w:pPr>
      <w:r w:rsidRPr="004005B3">
        <w:rPr>
          <w:rFonts w:ascii="Times New Roman" w:hAnsi="Times New Roman"/>
          <w:sz w:val="26"/>
          <w:szCs w:val="26"/>
        </w:rPr>
        <w:tab/>
      </w:r>
    </w:p>
    <w:p w:rsidR="003453B1" w:rsidRPr="004005B3" w:rsidRDefault="003453B1" w:rsidP="003453B1">
      <w:pPr>
        <w:spacing w:after="0" w:line="240" w:lineRule="auto"/>
        <w:jc w:val="both"/>
        <w:rPr>
          <w:rFonts w:ascii="Times New Roman" w:hAnsi="Times New Roman"/>
          <w:b/>
          <w:sz w:val="26"/>
          <w:szCs w:val="26"/>
        </w:rPr>
      </w:pPr>
      <w:r w:rsidRPr="004005B3">
        <w:rPr>
          <w:rFonts w:ascii="Times New Roman" w:hAnsi="Times New Roman"/>
          <w:b/>
          <w:sz w:val="26"/>
          <w:szCs w:val="26"/>
        </w:rPr>
        <w:t>3.3 Issue of Sovereign Bad Debts</w:t>
      </w:r>
    </w:p>
    <w:p w:rsidR="003453B1" w:rsidRPr="004005B3" w:rsidRDefault="003453B1" w:rsidP="003453B1">
      <w:pPr>
        <w:spacing w:after="0" w:line="240" w:lineRule="auto"/>
        <w:jc w:val="both"/>
        <w:rPr>
          <w:rFonts w:ascii="Times New Roman" w:hAnsi="Times New Roman"/>
          <w:sz w:val="26"/>
          <w:szCs w:val="26"/>
        </w:rPr>
      </w:pPr>
      <w:r w:rsidRPr="004005B3">
        <w:rPr>
          <w:rFonts w:ascii="Times New Roman" w:hAnsi="Times New Roman"/>
          <w:sz w:val="26"/>
          <w:szCs w:val="26"/>
        </w:rPr>
        <w:t>A sovereign debt is a debt incurred by a government or government agency or guaranteed by a government or government agency.</w:t>
      </w:r>
      <w:r w:rsidRPr="004005B3">
        <w:rPr>
          <w:rStyle w:val="FootnoteReference"/>
          <w:rFonts w:ascii="Times New Roman" w:hAnsi="Times New Roman"/>
          <w:sz w:val="26"/>
          <w:szCs w:val="26"/>
        </w:rPr>
        <w:footnoteReference w:id="45"/>
      </w:r>
      <w:r w:rsidRPr="004005B3">
        <w:rPr>
          <w:rFonts w:ascii="Times New Roman" w:hAnsi="Times New Roman"/>
          <w:sz w:val="26"/>
          <w:szCs w:val="26"/>
        </w:rPr>
        <w:t xml:space="preserve">  The common belief that sovereign entities may not likely go broke which may mean that bad debt may not crystalise, gave rise to some doubt on whether the tax authorities would agree to any provision made against debts due by sovereign entities. In consequence thereof, there are some general principles applicable in determining the extent to which specific provisions for sovereign risk debt can properly be allowed for tax purpose in Nigeria. The general principles are:</w:t>
      </w:r>
    </w:p>
    <w:p w:rsidR="003453B1" w:rsidRPr="004005B3" w:rsidRDefault="003453B1" w:rsidP="003453B1">
      <w:pPr>
        <w:numPr>
          <w:ilvl w:val="0"/>
          <w:numId w:val="1"/>
        </w:numPr>
        <w:spacing w:after="0" w:line="240" w:lineRule="auto"/>
        <w:jc w:val="both"/>
        <w:rPr>
          <w:rFonts w:ascii="Times New Roman" w:hAnsi="Times New Roman"/>
          <w:sz w:val="26"/>
          <w:szCs w:val="26"/>
        </w:rPr>
      </w:pPr>
      <w:r w:rsidRPr="004005B3">
        <w:rPr>
          <w:rFonts w:ascii="Times New Roman" w:hAnsi="Times New Roman"/>
          <w:sz w:val="26"/>
          <w:szCs w:val="26"/>
        </w:rPr>
        <w:t>It is for each individual bank to decide on the amount of any specific provision which it regards as appropriate and to justify such provisions for tax purposes.</w:t>
      </w:r>
    </w:p>
    <w:p w:rsidR="003453B1" w:rsidRPr="004005B3" w:rsidRDefault="003453B1" w:rsidP="003453B1">
      <w:pPr>
        <w:numPr>
          <w:ilvl w:val="0"/>
          <w:numId w:val="1"/>
        </w:numPr>
        <w:spacing w:after="0" w:line="240" w:lineRule="auto"/>
        <w:jc w:val="both"/>
        <w:rPr>
          <w:rFonts w:ascii="Times New Roman" w:hAnsi="Times New Roman"/>
          <w:sz w:val="26"/>
          <w:szCs w:val="26"/>
        </w:rPr>
      </w:pPr>
      <w:r w:rsidRPr="004005B3">
        <w:rPr>
          <w:rFonts w:ascii="Times New Roman" w:hAnsi="Times New Roman"/>
          <w:sz w:val="26"/>
          <w:szCs w:val="26"/>
        </w:rPr>
        <w:t xml:space="preserve">Whether a specific provision can properly be allowed for any debt can only be determined in accordance with the relevant tax law in the light of the particular circumstances at that date, including, as regards a sovereign debt, the present and prospective ability of the debtor sovereign to service its debt </w:t>
      </w:r>
    </w:p>
    <w:p w:rsidR="003453B1" w:rsidRPr="004005B3" w:rsidRDefault="003453B1" w:rsidP="003453B1">
      <w:pPr>
        <w:numPr>
          <w:ilvl w:val="0"/>
          <w:numId w:val="1"/>
        </w:numPr>
        <w:spacing w:after="0" w:line="240" w:lineRule="auto"/>
        <w:jc w:val="both"/>
        <w:rPr>
          <w:rFonts w:ascii="Times New Roman" w:hAnsi="Times New Roman"/>
          <w:sz w:val="26"/>
          <w:szCs w:val="26"/>
        </w:rPr>
      </w:pPr>
      <w:r w:rsidRPr="004005B3">
        <w:rPr>
          <w:rFonts w:ascii="Times New Roman" w:hAnsi="Times New Roman"/>
          <w:sz w:val="26"/>
          <w:szCs w:val="26"/>
        </w:rPr>
        <w:lastRenderedPageBreak/>
        <w:t>Subject to all other circumstances, the rescheduling of a debt, or of the interest thereon, does not of itself necessarily preclude the allowance of specific provision in respect of that debt.</w:t>
      </w:r>
    </w:p>
    <w:p w:rsidR="003453B1" w:rsidRPr="004005B3" w:rsidRDefault="003453B1" w:rsidP="003453B1">
      <w:pPr>
        <w:numPr>
          <w:ilvl w:val="0"/>
          <w:numId w:val="1"/>
        </w:numPr>
        <w:spacing w:after="0" w:line="240" w:lineRule="auto"/>
        <w:jc w:val="both"/>
        <w:rPr>
          <w:rFonts w:ascii="Times New Roman" w:hAnsi="Times New Roman"/>
          <w:sz w:val="26"/>
          <w:szCs w:val="26"/>
        </w:rPr>
      </w:pPr>
      <w:r w:rsidRPr="004005B3">
        <w:rPr>
          <w:rFonts w:ascii="Times New Roman" w:hAnsi="Times New Roman"/>
          <w:sz w:val="26"/>
          <w:szCs w:val="26"/>
        </w:rPr>
        <w:t>Where interest is overdue on a debt and the bank is taxable on an accrual basis, a provision may be allowed against that interest until such times as it is paid.</w:t>
      </w:r>
    </w:p>
    <w:p w:rsidR="003453B1" w:rsidRPr="004005B3" w:rsidRDefault="003453B1" w:rsidP="003453B1">
      <w:pPr>
        <w:numPr>
          <w:ilvl w:val="0"/>
          <w:numId w:val="1"/>
        </w:numPr>
        <w:spacing w:after="0" w:line="240" w:lineRule="auto"/>
        <w:jc w:val="both"/>
        <w:rPr>
          <w:rFonts w:ascii="Times New Roman" w:hAnsi="Times New Roman"/>
          <w:sz w:val="26"/>
          <w:szCs w:val="26"/>
        </w:rPr>
      </w:pPr>
      <w:r w:rsidRPr="004005B3">
        <w:rPr>
          <w:rFonts w:ascii="Times New Roman" w:hAnsi="Times New Roman"/>
          <w:sz w:val="26"/>
          <w:szCs w:val="26"/>
        </w:rPr>
        <w:t xml:space="preserve">Any specific provision allowed for tax is subject to annual review, even if during the year, there has been no recovery of the debt; this review will have regard, amongst other things, to any changes in the economy of the sovereign debtor which might have a bearing on the prospects of recovery of the debt. </w:t>
      </w:r>
    </w:p>
    <w:p w:rsidR="003453B1" w:rsidRPr="004005B3" w:rsidRDefault="003453B1" w:rsidP="003453B1">
      <w:pPr>
        <w:numPr>
          <w:ilvl w:val="0"/>
          <w:numId w:val="1"/>
        </w:numPr>
        <w:spacing w:after="0" w:line="240" w:lineRule="auto"/>
        <w:jc w:val="both"/>
        <w:rPr>
          <w:rFonts w:ascii="Times New Roman" w:hAnsi="Times New Roman"/>
          <w:sz w:val="26"/>
          <w:szCs w:val="26"/>
        </w:rPr>
      </w:pPr>
      <w:r w:rsidRPr="004005B3">
        <w:rPr>
          <w:rFonts w:ascii="Times New Roman" w:hAnsi="Times New Roman"/>
          <w:sz w:val="26"/>
          <w:szCs w:val="26"/>
        </w:rPr>
        <w:t>In the case of an overseas commercial debt, account is taken of any overseas government intervention (e.g., exchange control) which may prevent or render doubtful payment of interest or repayment of the debt.</w:t>
      </w:r>
    </w:p>
    <w:p w:rsidR="003453B1" w:rsidRPr="004005B3" w:rsidRDefault="003453B1" w:rsidP="003453B1">
      <w:pPr>
        <w:numPr>
          <w:ilvl w:val="0"/>
          <w:numId w:val="1"/>
        </w:numPr>
        <w:spacing w:after="0" w:line="240" w:lineRule="auto"/>
        <w:jc w:val="both"/>
        <w:rPr>
          <w:rFonts w:ascii="Times New Roman" w:hAnsi="Times New Roman"/>
          <w:sz w:val="26"/>
          <w:szCs w:val="26"/>
        </w:rPr>
      </w:pPr>
      <w:r w:rsidRPr="004005B3">
        <w:rPr>
          <w:rFonts w:ascii="Times New Roman" w:hAnsi="Times New Roman"/>
          <w:sz w:val="26"/>
          <w:szCs w:val="26"/>
        </w:rPr>
        <w:t>Inspectors of taxes should apply tax principles in a consistent way. They should recognize that the treatment of sovereign risk debt may involve special or unusual factors, and they are to be ready therefore, to consider any particular difficulties which may occur</w:t>
      </w:r>
      <w:r w:rsidRPr="004005B3">
        <w:rPr>
          <w:rStyle w:val="FootnoteReference"/>
          <w:rFonts w:ascii="Times New Roman" w:hAnsi="Times New Roman"/>
          <w:sz w:val="26"/>
          <w:szCs w:val="26"/>
        </w:rPr>
        <w:footnoteReference w:id="46"/>
      </w:r>
      <w:r w:rsidRPr="004005B3">
        <w:rPr>
          <w:rFonts w:ascii="Times New Roman" w:hAnsi="Times New Roman"/>
          <w:sz w:val="26"/>
          <w:szCs w:val="26"/>
        </w:rPr>
        <w:t>.</w:t>
      </w:r>
    </w:p>
    <w:p w:rsidR="003453B1" w:rsidRPr="004005B3" w:rsidRDefault="003453B1" w:rsidP="003453B1">
      <w:pPr>
        <w:spacing w:after="0" w:line="240" w:lineRule="auto"/>
        <w:ind w:left="360"/>
        <w:jc w:val="both"/>
        <w:rPr>
          <w:rFonts w:ascii="Times New Roman" w:hAnsi="Times New Roman"/>
          <w:sz w:val="26"/>
          <w:szCs w:val="26"/>
        </w:rPr>
      </w:pPr>
    </w:p>
    <w:p w:rsidR="003453B1" w:rsidRPr="004005B3" w:rsidRDefault="003453B1" w:rsidP="00F650A3">
      <w:pPr>
        <w:spacing w:after="0" w:line="240" w:lineRule="auto"/>
        <w:ind w:firstLine="720"/>
        <w:jc w:val="both"/>
        <w:rPr>
          <w:rFonts w:ascii="Times New Roman" w:hAnsi="Times New Roman"/>
          <w:sz w:val="26"/>
          <w:szCs w:val="26"/>
        </w:rPr>
      </w:pPr>
      <w:r w:rsidRPr="004005B3">
        <w:rPr>
          <w:rFonts w:ascii="Times New Roman" w:hAnsi="Times New Roman"/>
          <w:sz w:val="26"/>
          <w:szCs w:val="26"/>
        </w:rPr>
        <w:t xml:space="preserve">The use of the above outlined general principles is not without some problems. Amongst such problems is the considerable uncertainty as to the level of provision which the </w:t>
      </w:r>
      <w:r w:rsidR="00467B12" w:rsidRPr="004005B3">
        <w:rPr>
          <w:rFonts w:ascii="Times New Roman" w:hAnsi="Times New Roman"/>
          <w:sz w:val="26"/>
          <w:szCs w:val="26"/>
        </w:rPr>
        <w:t>Federal Board of Inland Revenue (</w:t>
      </w:r>
      <w:r w:rsidRPr="004005B3">
        <w:rPr>
          <w:rFonts w:ascii="Times New Roman" w:hAnsi="Times New Roman"/>
          <w:sz w:val="26"/>
          <w:szCs w:val="26"/>
        </w:rPr>
        <w:t>FBIR</w:t>
      </w:r>
      <w:r w:rsidR="00467B12" w:rsidRPr="004005B3">
        <w:rPr>
          <w:rFonts w:ascii="Times New Roman" w:hAnsi="Times New Roman"/>
          <w:sz w:val="26"/>
          <w:szCs w:val="26"/>
        </w:rPr>
        <w:t>)</w:t>
      </w:r>
      <w:r w:rsidRPr="004005B3">
        <w:rPr>
          <w:rFonts w:ascii="Times New Roman" w:hAnsi="Times New Roman"/>
          <w:sz w:val="26"/>
          <w:szCs w:val="26"/>
        </w:rPr>
        <w:t xml:space="preserve"> would allow. The reasons being that, the nature of these debts coupled with their size meant that provision were more likely to be challenged than provision on normal commercial debts. </w:t>
      </w:r>
    </w:p>
    <w:p w:rsidR="00F650A3" w:rsidRPr="004005B3" w:rsidRDefault="003453B1" w:rsidP="00F650A3">
      <w:pPr>
        <w:spacing w:after="0" w:line="240" w:lineRule="auto"/>
        <w:ind w:firstLine="720"/>
        <w:jc w:val="both"/>
        <w:rPr>
          <w:rFonts w:ascii="Times New Roman" w:hAnsi="Times New Roman"/>
          <w:sz w:val="26"/>
          <w:szCs w:val="26"/>
        </w:rPr>
      </w:pPr>
      <w:r w:rsidRPr="004005B3">
        <w:rPr>
          <w:rFonts w:ascii="Times New Roman" w:hAnsi="Times New Roman"/>
          <w:sz w:val="26"/>
          <w:szCs w:val="26"/>
        </w:rPr>
        <w:lastRenderedPageBreak/>
        <w:t xml:space="preserve">Furthermore, since it is possible for sovereign to secure debt in many banks, the opportunity for comparison by the FBIR between the treatments by various creditor banks of debt due by the same sovereign entity are also enormous. However, since the soundness of the debt is measured on an objective basis, the allowable provision given to different banks in respect of the same sovereign debt would not vary greatly, if at all. </w:t>
      </w:r>
    </w:p>
    <w:p w:rsidR="003453B1" w:rsidRPr="004005B3" w:rsidRDefault="003453B1" w:rsidP="00F650A3">
      <w:pPr>
        <w:spacing w:after="0" w:line="240" w:lineRule="auto"/>
        <w:ind w:firstLine="720"/>
        <w:jc w:val="both"/>
        <w:rPr>
          <w:rFonts w:ascii="Times New Roman" w:hAnsi="Times New Roman"/>
          <w:sz w:val="26"/>
          <w:szCs w:val="26"/>
        </w:rPr>
      </w:pPr>
      <w:r w:rsidRPr="004005B3">
        <w:rPr>
          <w:rFonts w:ascii="Times New Roman" w:hAnsi="Times New Roman"/>
          <w:sz w:val="26"/>
          <w:szCs w:val="26"/>
        </w:rPr>
        <w:t>In a nutshell, even though there exists the general principle in providing for sovereign bad debt, the actualization of same is not without problems, and majorly amongst the problems is the size of such debt which may constitute a challenge to the tax authority coupled with the problem of lack of certainty or clarity of mode of treatment by various creditor banks of the said sovereign bad debt.</w:t>
      </w:r>
    </w:p>
    <w:p w:rsidR="003453B1" w:rsidRPr="004005B3" w:rsidRDefault="003453B1" w:rsidP="003453B1">
      <w:pPr>
        <w:spacing w:after="0" w:line="240" w:lineRule="auto"/>
        <w:jc w:val="both"/>
        <w:rPr>
          <w:rFonts w:ascii="Times New Roman" w:hAnsi="Times New Roman"/>
          <w:sz w:val="26"/>
          <w:szCs w:val="26"/>
        </w:rPr>
      </w:pPr>
    </w:p>
    <w:p w:rsidR="003453B1" w:rsidRPr="004005B3" w:rsidRDefault="003453B1" w:rsidP="00F650A3">
      <w:pPr>
        <w:spacing w:after="0" w:line="240" w:lineRule="auto"/>
        <w:ind w:left="540" w:hanging="540"/>
        <w:jc w:val="both"/>
        <w:rPr>
          <w:rFonts w:ascii="Times New Roman" w:hAnsi="Times New Roman"/>
          <w:b/>
          <w:sz w:val="26"/>
          <w:szCs w:val="26"/>
        </w:rPr>
      </w:pPr>
      <w:r w:rsidRPr="004005B3">
        <w:rPr>
          <w:rFonts w:ascii="Times New Roman" w:hAnsi="Times New Roman"/>
          <w:b/>
          <w:sz w:val="26"/>
          <w:szCs w:val="26"/>
        </w:rPr>
        <w:t>3.4 Tax Treatment of Loan Losses: A Jurisdictional Juxtaposition</w:t>
      </w:r>
    </w:p>
    <w:p w:rsidR="00881BC3" w:rsidRPr="004005B3" w:rsidRDefault="003453B1" w:rsidP="003453B1">
      <w:pPr>
        <w:spacing w:after="0" w:line="240" w:lineRule="auto"/>
        <w:jc w:val="both"/>
        <w:rPr>
          <w:rFonts w:ascii="Times New Roman" w:hAnsi="Times New Roman"/>
          <w:sz w:val="26"/>
          <w:szCs w:val="26"/>
        </w:rPr>
      </w:pPr>
      <w:r w:rsidRPr="004005B3">
        <w:rPr>
          <w:rFonts w:ascii="Times New Roman" w:hAnsi="Times New Roman"/>
          <w:sz w:val="26"/>
          <w:szCs w:val="26"/>
        </w:rPr>
        <w:t>Given the wide diversity in tax treatment, there clearly is no generally accepted international standard as to the appropriate tax treatment of loan losses</w:t>
      </w:r>
      <w:r w:rsidR="00F650A3" w:rsidRPr="004005B3">
        <w:rPr>
          <w:rFonts w:ascii="Times New Roman" w:hAnsi="Times New Roman"/>
          <w:sz w:val="26"/>
          <w:szCs w:val="26"/>
        </w:rPr>
        <w:t>.</w:t>
      </w:r>
      <w:r w:rsidRPr="004005B3">
        <w:rPr>
          <w:rStyle w:val="FootnoteReference"/>
          <w:rFonts w:ascii="Times New Roman" w:hAnsi="Times New Roman"/>
          <w:sz w:val="26"/>
          <w:szCs w:val="26"/>
        </w:rPr>
        <w:footnoteReference w:id="47"/>
      </w:r>
      <w:r w:rsidRPr="004005B3">
        <w:rPr>
          <w:rFonts w:ascii="Times New Roman" w:hAnsi="Times New Roman"/>
          <w:sz w:val="26"/>
          <w:szCs w:val="26"/>
        </w:rPr>
        <w:t xml:space="preserve"> Different countries after using different guide-lines device and enact a suitable rules for tax treatment of loan losses. Therefore, rules and method</w:t>
      </w:r>
      <w:r w:rsidR="009D0A2E" w:rsidRPr="004005B3">
        <w:rPr>
          <w:rFonts w:ascii="Times New Roman" w:hAnsi="Times New Roman"/>
          <w:sz w:val="26"/>
          <w:szCs w:val="26"/>
        </w:rPr>
        <w:t>s</w:t>
      </w:r>
      <w:r w:rsidRPr="004005B3">
        <w:rPr>
          <w:rFonts w:ascii="Times New Roman" w:hAnsi="Times New Roman"/>
          <w:sz w:val="26"/>
          <w:szCs w:val="26"/>
        </w:rPr>
        <w:t xml:space="preserve"> of deductibility in a developed economy may </w:t>
      </w:r>
      <w:r w:rsidR="009D0A2E" w:rsidRPr="004005B3">
        <w:rPr>
          <w:rFonts w:ascii="Times New Roman" w:hAnsi="Times New Roman"/>
          <w:sz w:val="26"/>
          <w:szCs w:val="26"/>
        </w:rPr>
        <w:t>differ</w:t>
      </w:r>
      <w:r w:rsidRPr="004005B3">
        <w:rPr>
          <w:rFonts w:ascii="Times New Roman" w:hAnsi="Times New Roman"/>
          <w:sz w:val="26"/>
          <w:szCs w:val="26"/>
        </w:rPr>
        <w:t xml:space="preserve"> from the developing economy. According to Emil,</w:t>
      </w:r>
      <w:r w:rsidRPr="004005B3">
        <w:rPr>
          <w:rStyle w:val="FootnoteReference"/>
          <w:rFonts w:ascii="Times New Roman" w:hAnsi="Times New Roman"/>
          <w:sz w:val="26"/>
          <w:szCs w:val="26"/>
        </w:rPr>
        <w:footnoteReference w:id="48"/>
      </w:r>
      <w:r w:rsidRPr="004005B3">
        <w:rPr>
          <w:rFonts w:ascii="Times New Roman" w:hAnsi="Times New Roman"/>
          <w:sz w:val="26"/>
          <w:szCs w:val="26"/>
        </w:rPr>
        <w:t xml:space="preserve"> in countr</w:t>
      </w:r>
      <w:r w:rsidR="009D0A2E" w:rsidRPr="004005B3">
        <w:rPr>
          <w:rFonts w:ascii="Times New Roman" w:hAnsi="Times New Roman"/>
          <w:sz w:val="26"/>
          <w:szCs w:val="26"/>
        </w:rPr>
        <w:t>ies</w:t>
      </w:r>
      <w:r w:rsidRPr="004005B3">
        <w:rPr>
          <w:rFonts w:ascii="Times New Roman" w:hAnsi="Times New Roman"/>
          <w:sz w:val="26"/>
          <w:szCs w:val="26"/>
        </w:rPr>
        <w:t xml:space="preserve"> like United States with large banks that worth more than $500 million in assets, Australia, Korea, Malaysia, and Philippines</w:t>
      </w:r>
      <w:r w:rsidR="009D0A2E" w:rsidRPr="004005B3">
        <w:rPr>
          <w:rFonts w:ascii="Times New Roman" w:hAnsi="Times New Roman"/>
          <w:sz w:val="26"/>
          <w:szCs w:val="26"/>
        </w:rPr>
        <w:t>,</w:t>
      </w:r>
      <w:r w:rsidRPr="004005B3">
        <w:rPr>
          <w:rFonts w:ascii="Times New Roman" w:hAnsi="Times New Roman"/>
          <w:sz w:val="26"/>
          <w:szCs w:val="26"/>
        </w:rPr>
        <w:t xml:space="preserve"> their law only allow the charge-off method, under which loan losses are recognized only when loans become worthless. She argued further that, in determining whether a loan is worthless, all pertinent evidence, including continual non-performance, </w:t>
      </w:r>
      <w:r w:rsidRPr="004005B3">
        <w:rPr>
          <w:rFonts w:ascii="Times New Roman" w:hAnsi="Times New Roman"/>
          <w:sz w:val="26"/>
          <w:szCs w:val="26"/>
        </w:rPr>
        <w:lastRenderedPageBreak/>
        <w:t>adequacy of collateral and the financial condition of the debtor should be considered</w:t>
      </w:r>
    </w:p>
    <w:p w:rsidR="00881BC3" w:rsidRPr="004005B3" w:rsidRDefault="003453B1" w:rsidP="00881BC3">
      <w:pPr>
        <w:spacing w:after="0" w:line="240" w:lineRule="auto"/>
        <w:ind w:firstLine="720"/>
        <w:jc w:val="both"/>
        <w:rPr>
          <w:rFonts w:ascii="Times New Roman" w:hAnsi="Times New Roman"/>
          <w:sz w:val="26"/>
          <w:szCs w:val="26"/>
        </w:rPr>
      </w:pPr>
      <w:r w:rsidRPr="004005B3">
        <w:rPr>
          <w:rFonts w:ascii="Times New Roman" w:hAnsi="Times New Roman"/>
          <w:sz w:val="26"/>
          <w:szCs w:val="26"/>
        </w:rPr>
        <w:t xml:space="preserve">In the Philippines, loan losses are allowed only for worthless and uncollectible loans that have been charged off the books of account of a bank </w:t>
      </w:r>
      <w:r w:rsidR="009D0A2E" w:rsidRPr="004005B3">
        <w:rPr>
          <w:rFonts w:ascii="Times New Roman" w:hAnsi="Times New Roman"/>
          <w:sz w:val="26"/>
          <w:szCs w:val="26"/>
        </w:rPr>
        <w:t>at</w:t>
      </w:r>
      <w:r w:rsidRPr="004005B3">
        <w:rPr>
          <w:rFonts w:ascii="Times New Roman" w:hAnsi="Times New Roman"/>
          <w:sz w:val="26"/>
          <w:szCs w:val="26"/>
        </w:rPr>
        <w:t xml:space="preserve"> the end of the taxable year. The tax authority allows a debt to be written off for tax purposes once it has been written off by the bank with the approval of the Central Bank of Philippines. Some countries (</w:t>
      </w:r>
      <w:r w:rsidR="009D0A2E" w:rsidRPr="004005B3">
        <w:rPr>
          <w:rFonts w:ascii="Times New Roman" w:hAnsi="Times New Roman"/>
          <w:sz w:val="26"/>
          <w:szCs w:val="26"/>
        </w:rPr>
        <w:t xml:space="preserve">like </w:t>
      </w:r>
      <w:r w:rsidRPr="004005B3">
        <w:rPr>
          <w:rFonts w:ascii="Times New Roman" w:hAnsi="Times New Roman"/>
          <w:sz w:val="26"/>
          <w:szCs w:val="26"/>
        </w:rPr>
        <w:t>Japan and Thailand) set limits on the tax deduction for loan losses</w:t>
      </w:r>
      <w:r w:rsidR="009D0A2E" w:rsidRPr="004005B3">
        <w:rPr>
          <w:rFonts w:ascii="Times New Roman" w:hAnsi="Times New Roman"/>
          <w:sz w:val="26"/>
          <w:szCs w:val="26"/>
        </w:rPr>
        <w:t>.</w:t>
      </w:r>
      <w:r w:rsidRPr="004005B3">
        <w:rPr>
          <w:rStyle w:val="FootnoteReference"/>
          <w:rFonts w:ascii="Times New Roman" w:hAnsi="Times New Roman"/>
          <w:sz w:val="26"/>
          <w:szCs w:val="26"/>
        </w:rPr>
        <w:footnoteReference w:id="49"/>
      </w:r>
      <w:r w:rsidRPr="004005B3">
        <w:rPr>
          <w:rFonts w:ascii="Times New Roman" w:hAnsi="Times New Roman"/>
          <w:sz w:val="26"/>
          <w:szCs w:val="26"/>
        </w:rPr>
        <w:t xml:space="preserve"> In Thailand, banks can deduct loan loss provisions from taxable income up to 25 percent of net income or 0.25 percent of total outstanding loans, whichever is less. Loan losses may be written off for tax purposes only when civil action has been brought against the debtor, the debtor has declared bankruptcy or died</w:t>
      </w:r>
      <w:r w:rsidR="00881BC3" w:rsidRPr="004005B3">
        <w:rPr>
          <w:rFonts w:ascii="Times New Roman" w:hAnsi="Times New Roman"/>
          <w:sz w:val="26"/>
          <w:szCs w:val="26"/>
        </w:rPr>
        <w:t>.</w:t>
      </w:r>
      <w:r w:rsidRPr="004005B3">
        <w:rPr>
          <w:rStyle w:val="FootnoteReference"/>
          <w:rFonts w:ascii="Times New Roman" w:hAnsi="Times New Roman"/>
          <w:sz w:val="26"/>
          <w:szCs w:val="26"/>
        </w:rPr>
        <w:footnoteReference w:id="50"/>
      </w:r>
    </w:p>
    <w:p w:rsidR="003453B1" w:rsidRPr="004005B3" w:rsidRDefault="003453B1" w:rsidP="00881BC3">
      <w:pPr>
        <w:spacing w:after="0" w:line="240" w:lineRule="auto"/>
        <w:ind w:firstLine="720"/>
        <w:jc w:val="both"/>
        <w:rPr>
          <w:rFonts w:ascii="Times New Roman" w:hAnsi="Times New Roman"/>
          <w:sz w:val="26"/>
          <w:szCs w:val="26"/>
        </w:rPr>
      </w:pPr>
      <w:r w:rsidRPr="004005B3">
        <w:rPr>
          <w:rFonts w:ascii="Times New Roman" w:hAnsi="Times New Roman"/>
          <w:sz w:val="26"/>
          <w:szCs w:val="26"/>
        </w:rPr>
        <w:t>Generally in Nigeria, a company (bank inclusive) is not allowed to deduct its loss in computing the profits of its trade or business as if they were expenses; however, a company can statutorily apply for relief for the amount of loss incurred by it in its trade or business for the purpose of computing its assessable profits for the year of assessment</w:t>
      </w:r>
      <w:r w:rsidR="00881BC3" w:rsidRPr="004005B3">
        <w:rPr>
          <w:rFonts w:ascii="Times New Roman" w:hAnsi="Times New Roman"/>
          <w:sz w:val="26"/>
          <w:szCs w:val="26"/>
        </w:rPr>
        <w:t>.</w:t>
      </w:r>
      <w:r w:rsidRPr="004005B3">
        <w:rPr>
          <w:rStyle w:val="FootnoteReference"/>
          <w:rFonts w:ascii="Times New Roman" w:hAnsi="Times New Roman"/>
          <w:sz w:val="26"/>
          <w:szCs w:val="26"/>
        </w:rPr>
        <w:footnoteReference w:id="51"/>
      </w:r>
      <w:r w:rsidRPr="004005B3">
        <w:rPr>
          <w:rFonts w:ascii="Times New Roman" w:hAnsi="Times New Roman"/>
          <w:sz w:val="26"/>
          <w:szCs w:val="26"/>
        </w:rPr>
        <w:t xml:space="preserve"> Despite the directive</w:t>
      </w:r>
      <w:r w:rsidR="009D0A2E" w:rsidRPr="004005B3">
        <w:rPr>
          <w:rFonts w:ascii="Times New Roman" w:hAnsi="Times New Roman"/>
          <w:sz w:val="26"/>
          <w:szCs w:val="26"/>
        </w:rPr>
        <w:t>s</w:t>
      </w:r>
      <w:r w:rsidRPr="004005B3">
        <w:rPr>
          <w:rFonts w:ascii="Times New Roman" w:hAnsi="Times New Roman"/>
          <w:sz w:val="26"/>
          <w:szCs w:val="26"/>
        </w:rPr>
        <w:t xml:space="preserve"> of the CBN that when IFRS is adopted in Nigeria, the Banks would be required to make provisions for loans as prescribed in the relevant IFRS Standards</w:t>
      </w:r>
      <w:r w:rsidR="00881BC3" w:rsidRPr="004005B3">
        <w:rPr>
          <w:rFonts w:ascii="Times New Roman" w:hAnsi="Times New Roman"/>
          <w:sz w:val="26"/>
          <w:szCs w:val="26"/>
        </w:rPr>
        <w:t>;</w:t>
      </w:r>
      <w:r w:rsidRPr="004005B3">
        <w:rPr>
          <w:rStyle w:val="FootnoteReference"/>
          <w:rFonts w:ascii="Times New Roman" w:hAnsi="Times New Roman"/>
          <w:sz w:val="26"/>
          <w:szCs w:val="26"/>
        </w:rPr>
        <w:footnoteReference w:id="52"/>
      </w:r>
      <w:r w:rsidRPr="004005B3">
        <w:rPr>
          <w:rFonts w:ascii="Times New Roman" w:hAnsi="Times New Roman"/>
          <w:sz w:val="26"/>
          <w:szCs w:val="26"/>
        </w:rPr>
        <w:t xml:space="preserve"> the applicable rule as regards the </w:t>
      </w:r>
      <w:r w:rsidRPr="004005B3">
        <w:rPr>
          <w:rFonts w:ascii="Times New Roman" w:hAnsi="Times New Roman"/>
          <w:sz w:val="26"/>
          <w:szCs w:val="26"/>
        </w:rPr>
        <w:lastRenderedPageBreak/>
        <w:t>deductibility for tax purpose of bad debt provisions still remains same as those applying to any other business.</w:t>
      </w:r>
      <w:r w:rsidRPr="004005B3">
        <w:rPr>
          <w:rStyle w:val="FootnoteReference"/>
          <w:rFonts w:ascii="Times New Roman" w:hAnsi="Times New Roman"/>
          <w:sz w:val="26"/>
          <w:szCs w:val="26"/>
        </w:rPr>
        <w:footnoteReference w:id="53"/>
      </w:r>
    </w:p>
    <w:p w:rsidR="00881BC3" w:rsidRPr="004005B3" w:rsidRDefault="00881BC3" w:rsidP="003453B1">
      <w:pPr>
        <w:spacing w:after="0" w:line="240" w:lineRule="auto"/>
        <w:ind w:left="720" w:hanging="720"/>
        <w:jc w:val="both"/>
        <w:rPr>
          <w:rFonts w:ascii="Times New Roman" w:hAnsi="Times New Roman"/>
          <w:b/>
          <w:sz w:val="26"/>
          <w:szCs w:val="26"/>
        </w:rPr>
      </w:pPr>
    </w:p>
    <w:p w:rsidR="003453B1" w:rsidRPr="004005B3" w:rsidRDefault="003453B1" w:rsidP="003453B1">
      <w:pPr>
        <w:spacing w:after="0" w:line="240" w:lineRule="auto"/>
        <w:ind w:left="720" w:hanging="720"/>
        <w:jc w:val="both"/>
        <w:rPr>
          <w:rFonts w:ascii="Times New Roman" w:hAnsi="Times New Roman"/>
          <w:b/>
          <w:sz w:val="26"/>
          <w:szCs w:val="26"/>
        </w:rPr>
      </w:pPr>
      <w:r w:rsidRPr="004005B3">
        <w:rPr>
          <w:rFonts w:ascii="Times New Roman" w:hAnsi="Times New Roman"/>
          <w:b/>
          <w:sz w:val="26"/>
          <w:szCs w:val="26"/>
        </w:rPr>
        <w:t xml:space="preserve">4. </w:t>
      </w:r>
      <w:r w:rsidR="00881BC3" w:rsidRPr="004005B3">
        <w:rPr>
          <w:rFonts w:ascii="Times New Roman" w:hAnsi="Times New Roman"/>
          <w:b/>
          <w:sz w:val="26"/>
          <w:szCs w:val="26"/>
        </w:rPr>
        <w:tab/>
        <w:t>Procedure for Computation of Profit and Regulatory Accounting for Tax Purpose</w:t>
      </w:r>
    </w:p>
    <w:p w:rsidR="003453B1" w:rsidRPr="004005B3" w:rsidRDefault="003453B1" w:rsidP="003453B1">
      <w:pPr>
        <w:spacing w:after="0" w:line="240" w:lineRule="auto"/>
        <w:jc w:val="both"/>
        <w:rPr>
          <w:rFonts w:ascii="Times New Roman" w:hAnsi="Times New Roman"/>
          <w:sz w:val="26"/>
          <w:szCs w:val="26"/>
        </w:rPr>
      </w:pPr>
      <w:r w:rsidRPr="004005B3">
        <w:rPr>
          <w:rFonts w:ascii="Times New Roman" w:hAnsi="Times New Roman"/>
          <w:b/>
          <w:sz w:val="26"/>
          <w:szCs w:val="26"/>
        </w:rPr>
        <w:t>4.1 Computation of Profit for Tax Purpose</w:t>
      </w:r>
    </w:p>
    <w:p w:rsidR="003453B1" w:rsidRPr="004005B3" w:rsidRDefault="003453B1" w:rsidP="003453B1">
      <w:pPr>
        <w:spacing w:after="0" w:line="240" w:lineRule="auto"/>
        <w:jc w:val="both"/>
        <w:rPr>
          <w:rFonts w:ascii="Times New Roman" w:hAnsi="Times New Roman"/>
          <w:sz w:val="26"/>
          <w:szCs w:val="26"/>
        </w:rPr>
      </w:pPr>
      <w:r w:rsidRPr="004005B3">
        <w:rPr>
          <w:rFonts w:ascii="Times New Roman" w:hAnsi="Times New Roman"/>
          <w:sz w:val="26"/>
          <w:szCs w:val="26"/>
        </w:rPr>
        <w:t>For each year of assessment tax is payable at the current rate of 30% of the total profits of every company</w:t>
      </w:r>
      <w:r w:rsidR="009D0A2E" w:rsidRPr="004005B3">
        <w:rPr>
          <w:rFonts w:ascii="Times New Roman" w:hAnsi="Times New Roman"/>
          <w:sz w:val="26"/>
          <w:szCs w:val="26"/>
        </w:rPr>
        <w:t>. A</w:t>
      </w:r>
      <w:r w:rsidRPr="004005B3">
        <w:rPr>
          <w:rFonts w:ascii="Times New Roman" w:hAnsi="Times New Roman"/>
          <w:sz w:val="26"/>
          <w:szCs w:val="26"/>
        </w:rPr>
        <w:t>ny year of assessment wherein, the ascertainment of total assessable profits from all sources of a company result in a loss, or no tax payable, or tax payable which is less than the minimum tax, the tax payable by the company shall be the minimum tax computed.</w:t>
      </w:r>
      <w:r w:rsidRPr="004005B3">
        <w:rPr>
          <w:rStyle w:val="FootnoteReference"/>
          <w:rFonts w:ascii="Times New Roman" w:hAnsi="Times New Roman"/>
          <w:sz w:val="26"/>
          <w:szCs w:val="26"/>
        </w:rPr>
        <w:footnoteReference w:id="54"/>
      </w:r>
      <w:r w:rsidRPr="004005B3">
        <w:rPr>
          <w:rFonts w:ascii="Times New Roman" w:hAnsi="Times New Roman"/>
          <w:sz w:val="26"/>
          <w:szCs w:val="26"/>
        </w:rPr>
        <w:t xml:space="preserve">  </w:t>
      </w:r>
    </w:p>
    <w:p w:rsidR="00A74FBD" w:rsidRPr="004005B3" w:rsidRDefault="003453B1" w:rsidP="00A74FBD">
      <w:pPr>
        <w:pStyle w:val="FootnoteText"/>
        <w:ind w:firstLine="720"/>
        <w:jc w:val="both"/>
        <w:rPr>
          <w:rFonts w:ascii="Times New Roman" w:hAnsi="Times New Roman"/>
          <w:sz w:val="26"/>
          <w:szCs w:val="26"/>
        </w:rPr>
      </w:pPr>
      <w:r w:rsidRPr="004005B3">
        <w:rPr>
          <w:rFonts w:ascii="Times New Roman" w:hAnsi="Times New Roman"/>
          <w:sz w:val="26"/>
          <w:szCs w:val="26"/>
        </w:rPr>
        <w:t xml:space="preserve">Taxable profit is arrived at after the treatment of the loss relief, capital allowances, balancing allowances and balancing charges. In other words, the assessment for total profit of a bank for any year of assessment is at </w:t>
      </w:r>
      <w:r w:rsidR="009D0A2E" w:rsidRPr="004005B3">
        <w:rPr>
          <w:rFonts w:ascii="Times New Roman" w:hAnsi="Times New Roman"/>
          <w:sz w:val="26"/>
          <w:szCs w:val="26"/>
        </w:rPr>
        <w:t>four (</w:t>
      </w:r>
      <w:r w:rsidRPr="004005B3">
        <w:rPr>
          <w:rFonts w:ascii="Times New Roman" w:hAnsi="Times New Roman"/>
          <w:sz w:val="26"/>
          <w:szCs w:val="26"/>
        </w:rPr>
        <w:t>4</w:t>
      </w:r>
      <w:r w:rsidR="009D0A2E" w:rsidRPr="004005B3">
        <w:rPr>
          <w:rFonts w:ascii="Times New Roman" w:hAnsi="Times New Roman"/>
          <w:sz w:val="26"/>
          <w:szCs w:val="26"/>
        </w:rPr>
        <w:t>)</w:t>
      </w:r>
      <w:r w:rsidRPr="004005B3">
        <w:rPr>
          <w:rFonts w:ascii="Times New Roman" w:hAnsi="Times New Roman"/>
          <w:sz w:val="26"/>
          <w:szCs w:val="26"/>
        </w:rPr>
        <w:t xml:space="preserve"> stages.  The stages are aggregates of all assessable profits from all sources, the total of the assessable profits from all sources, including the balancing charge, the deduction of loss relief due and the deduction of any investment and capital allowance to be granted</w:t>
      </w:r>
      <w:r w:rsidR="00A74FBD" w:rsidRPr="004005B3">
        <w:rPr>
          <w:rFonts w:ascii="Times New Roman" w:hAnsi="Times New Roman"/>
          <w:sz w:val="26"/>
          <w:szCs w:val="26"/>
        </w:rPr>
        <w:t>.</w:t>
      </w:r>
      <w:r w:rsidRPr="004005B3">
        <w:rPr>
          <w:rStyle w:val="FootnoteReference"/>
          <w:rFonts w:ascii="Times New Roman" w:hAnsi="Times New Roman"/>
          <w:sz w:val="26"/>
          <w:szCs w:val="26"/>
        </w:rPr>
        <w:footnoteReference w:id="55"/>
      </w:r>
    </w:p>
    <w:p w:rsidR="00A74FBD" w:rsidRPr="004005B3" w:rsidRDefault="003453B1" w:rsidP="00A74FBD">
      <w:pPr>
        <w:pStyle w:val="FootnoteText"/>
        <w:ind w:firstLine="720"/>
        <w:jc w:val="both"/>
        <w:rPr>
          <w:rFonts w:ascii="Times New Roman" w:hAnsi="Times New Roman"/>
          <w:sz w:val="26"/>
          <w:szCs w:val="26"/>
        </w:rPr>
      </w:pPr>
      <w:r w:rsidRPr="004005B3">
        <w:rPr>
          <w:rFonts w:ascii="Times New Roman" w:hAnsi="Times New Roman"/>
          <w:sz w:val="26"/>
          <w:szCs w:val="26"/>
        </w:rPr>
        <w:t>Therefore, in the computation of profit for tax purpose, debtors are generally included, and for that, debtors are brought into account at their face value.</w:t>
      </w:r>
      <w:r w:rsidRPr="004005B3">
        <w:rPr>
          <w:rStyle w:val="FootnoteReference"/>
          <w:rFonts w:ascii="Times New Roman" w:hAnsi="Times New Roman"/>
          <w:sz w:val="26"/>
          <w:szCs w:val="26"/>
        </w:rPr>
        <w:footnoteReference w:id="56"/>
      </w:r>
      <w:r w:rsidRPr="004005B3">
        <w:rPr>
          <w:rFonts w:ascii="Times New Roman" w:hAnsi="Times New Roman"/>
          <w:sz w:val="26"/>
          <w:szCs w:val="26"/>
        </w:rPr>
        <w:t xml:space="preserve">  The total profits of any banks for any year of assessment shall be the amount of its total assessable profit from all sources for that year together with any additions thereto of the amount of balancing charge less </w:t>
      </w:r>
      <w:r w:rsidRPr="004005B3">
        <w:rPr>
          <w:rFonts w:ascii="Times New Roman" w:hAnsi="Times New Roman"/>
          <w:sz w:val="26"/>
          <w:szCs w:val="26"/>
        </w:rPr>
        <w:lastRenderedPageBreak/>
        <w:t>deductions due for loss relief investment allowance and capital allowance.</w:t>
      </w:r>
      <w:r w:rsidRPr="004005B3">
        <w:rPr>
          <w:rStyle w:val="FootnoteReference"/>
          <w:rFonts w:ascii="Times New Roman" w:hAnsi="Times New Roman"/>
          <w:sz w:val="26"/>
          <w:szCs w:val="26"/>
        </w:rPr>
        <w:footnoteReference w:id="57"/>
      </w:r>
    </w:p>
    <w:p w:rsidR="003453B1" w:rsidRPr="004005B3" w:rsidRDefault="003453B1" w:rsidP="00A74FBD">
      <w:pPr>
        <w:pStyle w:val="FootnoteText"/>
        <w:ind w:firstLine="720"/>
        <w:jc w:val="both"/>
        <w:rPr>
          <w:rFonts w:ascii="Times New Roman" w:hAnsi="Times New Roman"/>
          <w:sz w:val="26"/>
          <w:szCs w:val="26"/>
        </w:rPr>
      </w:pPr>
      <w:r w:rsidRPr="004005B3">
        <w:rPr>
          <w:rFonts w:ascii="Times New Roman" w:hAnsi="Times New Roman"/>
          <w:sz w:val="26"/>
          <w:szCs w:val="26"/>
        </w:rPr>
        <w:t>In arriving at the chargeable bank profit, losses, if any, incurred in the preceding year of assessment are also to be deducted. Contrary to what is obtained in personal taxation, there is no current year loss relief available to banks. It is only the carry forward relief that is available. Invariably therefore, going by the provision of Section 29(1) of the Companies Income Tax Act, 2004, the assessable profits from all sources are to be aggregated. If a loss has been incurred from any one source, such cannot be aggregated with the profits from other sources to determine total profit. What will be done is a carried forward relief against future profit from the same source.  As simple as this procedure is, the lack of clear rule to determine taxable bank profit coupled with the ambiguity in the combined interpretation of sections 29(1) and 31(2)of Companies Income Tax A</w:t>
      </w:r>
      <w:r w:rsidR="00771553" w:rsidRPr="004005B3">
        <w:rPr>
          <w:rFonts w:ascii="Times New Roman" w:hAnsi="Times New Roman"/>
          <w:sz w:val="26"/>
          <w:szCs w:val="26"/>
        </w:rPr>
        <w:t>ct greatly compound</w:t>
      </w:r>
      <w:r w:rsidRPr="004005B3">
        <w:rPr>
          <w:rFonts w:ascii="Times New Roman" w:hAnsi="Times New Roman"/>
          <w:sz w:val="26"/>
          <w:szCs w:val="26"/>
        </w:rPr>
        <w:t xml:space="preserve"> the problem of determination of </w:t>
      </w:r>
      <w:r w:rsidR="00771553" w:rsidRPr="004005B3">
        <w:rPr>
          <w:rFonts w:ascii="Times New Roman" w:hAnsi="Times New Roman"/>
          <w:sz w:val="26"/>
          <w:szCs w:val="26"/>
        </w:rPr>
        <w:t>b</w:t>
      </w:r>
      <w:r w:rsidRPr="004005B3">
        <w:rPr>
          <w:rFonts w:ascii="Times New Roman" w:hAnsi="Times New Roman"/>
          <w:sz w:val="26"/>
          <w:szCs w:val="26"/>
        </w:rPr>
        <w:t xml:space="preserve">ank taxable profits, and bad debt in practice.  </w:t>
      </w:r>
    </w:p>
    <w:p w:rsidR="003453B1" w:rsidRPr="004005B3" w:rsidRDefault="003453B1" w:rsidP="003453B1">
      <w:pPr>
        <w:spacing w:after="0" w:line="240" w:lineRule="auto"/>
        <w:jc w:val="both"/>
        <w:rPr>
          <w:rFonts w:ascii="Times New Roman" w:hAnsi="Times New Roman"/>
          <w:sz w:val="26"/>
          <w:szCs w:val="26"/>
        </w:rPr>
      </w:pPr>
    </w:p>
    <w:p w:rsidR="003453B1" w:rsidRPr="004005B3" w:rsidRDefault="003453B1" w:rsidP="003453B1">
      <w:pPr>
        <w:spacing w:after="0" w:line="240" w:lineRule="auto"/>
        <w:jc w:val="both"/>
        <w:rPr>
          <w:rFonts w:ascii="Times New Roman" w:hAnsi="Times New Roman"/>
          <w:b/>
          <w:sz w:val="26"/>
          <w:szCs w:val="26"/>
        </w:rPr>
      </w:pPr>
      <w:r w:rsidRPr="004005B3">
        <w:rPr>
          <w:rFonts w:ascii="Times New Roman" w:hAnsi="Times New Roman"/>
          <w:b/>
          <w:sz w:val="26"/>
          <w:szCs w:val="26"/>
        </w:rPr>
        <w:t>4.2 Ambiguity in Sections 29(1) and 31(2) Examined</w:t>
      </w:r>
    </w:p>
    <w:p w:rsidR="003453B1" w:rsidRPr="004005B3" w:rsidRDefault="003453B1" w:rsidP="003453B1">
      <w:pPr>
        <w:tabs>
          <w:tab w:val="left" w:pos="2506"/>
        </w:tabs>
        <w:spacing w:after="0" w:line="240" w:lineRule="auto"/>
        <w:jc w:val="both"/>
        <w:rPr>
          <w:rFonts w:ascii="Times New Roman" w:hAnsi="Times New Roman"/>
          <w:sz w:val="26"/>
          <w:szCs w:val="26"/>
        </w:rPr>
      </w:pPr>
      <w:r w:rsidRPr="004005B3">
        <w:rPr>
          <w:rFonts w:ascii="Times New Roman" w:hAnsi="Times New Roman"/>
          <w:iCs/>
          <w:sz w:val="26"/>
          <w:szCs w:val="26"/>
          <w:lang w:eastAsia="en-GB"/>
        </w:rPr>
        <w:t xml:space="preserve">The combined interpretation of provisions of </w:t>
      </w:r>
      <w:r w:rsidRPr="004005B3">
        <w:rPr>
          <w:rFonts w:ascii="Times New Roman" w:hAnsi="Times New Roman"/>
          <w:sz w:val="26"/>
          <w:szCs w:val="26"/>
          <w:lang w:eastAsia="en-GB"/>
        </w:rPr>
        <w:t>Sections 29(1) and 31(2)</w:t>
      </w:r>
      <w:r w:rsidRPr="004005B3">
        <w:rPr>
          <w:rStyle w:val="FootnoteReference"/>
          <w:rFonts w:ascii="Times New Roman" w:hAnsi="Times New Roman"/>
          <w:sz w:val="26"/>
          <w:szCs w:val="26"/>
          <w:lang w:eastAsia="en-GB"/>
        </w:rPr>
        <w:footnoteReference w:id="58"/>
      </w:r>
      <w:r w:rsidRPr="004005B3">
        <w:rPr>
          <w:rFonts w:ascii="Times New Roman" w:hAnsi="Times New Roman"/>
          <w:sz w:val="26"/>
          <w:szCs w:val="26"/>
          <w:lang w:eastAsia="en-GB"/>
        </w:rPr>
        <w:t xml:space="preserve"> is fraught with ambiguity.  While</w:t>
      </w:r>
      <w:r w:rsidRPr="004005B3">
        <w:rPr>
          <w:rFonts w:ascii="Times New Roman" w:hAnsi="Times New Roman"/>
          <w:iCs/>
          <w:sz w:val="26"/>
          <w:szCs w:val="26"/>
          <w:lang w:eastAsia="en-GB"/>
        </w:rPr>
        <w:t xml:space="preserve"> s</w:t>
      </w:r>
      <w:r w:rsidRPr="004005B3">
        <w:rPr>
          <w:rFonts w:ascii="Times New Roman" w:hAnsi="Times New Roman"/>
          <w:sz w:val="26"/>
          <w:szCs w:val="26"/>
          <w:lang w:eastAsia="en-GB"/>
        </w:rPr>
        <w:t xml:space="preserve">ection 29(1) provides that the profits of any company for each year of assessment from such sources of profits shall be the profits of the year immediately preceding the year of assessment from each source; section 31(2) restricts the losses that may be relieved in any year to the assessable profits from the trade or business in which the loss was incurred. This practice </w:t>
      </w:r>
      <w:r w:rsidRPr="004005B3">
        <w:rPr>
          <w:rFonts w:ascii="Times New Roman" w:hAnsi="Times New Roman"/>
          <w:iCs/>
          <w:sz w:val="26"/>
          <w:szCs w:val="26"/>
          <w:lang w:eastAsia="en-GB"/>
        </w:rPr>
        <w:t>is not equitable and it seems to punish genuine</w:t>
      </w:r>
      <w:r w:rsidRPr="004005B3">
        <w:rPr>
          <w:rFonts w:ascii="Times New Roman" w:hAnsi="Times New Roman"/>
          <w:sz w:val="26"/>
          <w:szCs w:val="26"/>
          <w:lang w:eastAsia="en-GB"/>
        </w:rPr>
        <w:t xml:space="preserve"> </w:t>
      </w:r>
      <w:r w:rsidRPr="004005B3">
        <w:rPr>
          <w:rFonts w:ascii="Times New Roman" w:hAnsi="Times New Roman"/>
          <w:iCs/>
          <w:sz w:val="26"/>
          <w:szCs w:val="26"/>
          <w:lang w:eastAsia="en-GB"/>
        </w:rPr>
        <w:t xml:space="preserve">businesses for incurring real losses. </w:t>
      </w:r>
    </w:p>
    <w:p w:rsidR="003453B1" w:rsidRPr="004005B3" w:rsidRDefault="003453B1" w:rsidP="003453B1">
      <w:pPr>
        <w:spacing w:after="0" w:line="240" w:lineRule="auto"/>
        <w:jc w:val="both"/>
        <w:rPr>
          <w:rFonts w:ascii="Times New Roman" w:hAnsi="Times New Roman"/>
          <w:b/>
          <w:sz w:val="26"/>
          <w:szCs w:val="26"/>
        </w:rPr>
      </w:pPr>
      <w:r w:rsidRPr="004005B3">
        <w:rPr>
          <w:rFonts w:ascii="Times New Roman" w:hAnsi="Times New Roman"/>
          <w:b/>
          <w:sz w:val="26"/>
          <w:szCs w:val="26"/>
        </w:rPr>
        <w:lastRenderedPageBreak/>
        <w:t>4.3 Regulatory Accounting for Loan Losses</w:t>
      </w:r>
    </w:p>
    <w:p w:rsidR="003453B1" w:rsidRPr="004005B3" w:rsidRDefault="003453B1" w:rsidP="003453B1">
      <w:pPr>
        <w:spacing w:after="0" w:line="240" w:lineRule="auto"/>
        <w:jc w:val="both"/>
        <w:rPr>
          <w:rFonts w:ascii="Times New Roman" w:hAnsi="Times New Roman"/>
          <w:sz w:val="26"/>
          <w:szCs w:val="26"/>
        </w:rPr>
      </w:pPr>
      <w:r w:rsidRPr="004005B3">
        <w:rPr>
          <w:rFonts w:ascii="Times New Roman" w:hAnsi="Times New Roman"/>
          <w:sz w:val="26"/>
          <w:szCs w:val="26"/>
        </w:rPr>
        <w:t>On the classification of loans and setting minimum reserves, it is the responsibility of the bank</w:t>
      </w:r>
      <w:r w:rsidR="00771553" w:rsidRPr="004005B3">
        <w:rPr>
          <w:rFonts w:ascii="Times New Roman" w:hAnsi="Times New Roman"/>
          <w:sz w:val="26"/>
          <w:szCs w:val="26"/>
        </w:rPr>
        <w:t>s regulatory agencies</w:t>
      </w:r>
      <w:r w:rsidRPr="004005B3">
        <w:rPr>
          <w:rFonts w:ascii="Times New Roman" w:hAnsi="Times New Roman"/>
          <w:sz w:val="26"/>
          <w:szCs w:val="26"/>
        </w:rPr>
        <w:t xml:space="preserve"> in most of the countries to specify such scheme. However, this should be performed systematically in a consistent manner and, most often, in conformity with the objective criteria for such classification.</w:t>
      </w:r>
    </w:p>
    <w:p w:rsidR="00892988" w:rsidRPr="004005B3" w:rsidRDefault="003453B1" w:rsidP="00892988">
      <w:pPr>
        <w:spacing w:after="0" w:line="240" w:lineRule="auto"/>
        <w:ind w:firstLine="720"/>
        <w:jc w:val="both"/>
        <w:rPr>
          <w:rFonts w:ascii="Times New Roman" w:hAnsi="Times New Roman"/>
          <w:sz w:val="26"/>
          <w:szCs w:val="26"/>
        </w:rPr>
      </w:pPr>
      <w:r w:rsidRPr="004005B3">
        <w:rPr>
          <w:rFonts w:ascii="Times New Roman" w:hAnsi="Times New Roman"/>
          <w:sz w:val="26"/>
          <w:szCs w:val="26"/>
        </w:rPr>
        <w:t>The common practice of financial accounting is the recording of loan at their face value until same became fully worthless and then written off. Therefore, on a bank’s financial statement, the value of loans are often shown on a net basis, and a provision or reserve account is established for potential losses present in the portfolio of loans</w:t>
      </w:r>
      <w:r w:rsidR="00892988" w:rsidRPr="004005B3">
        <w:rPr>
          <w:rFonts w:ascii="Times New Roman" w:hAnsi="Times New Roman"/>
          <w:sz w:val="26"/>
          <w:szCs w:val="26"/>
        </w:rPr>
        <w:t>.</w:t>
      </w:r>
      <w:r w:rsidRPr="004005B3">
        <w:rPr>
          <w:rStyle w:val="FootnoteReference"/>
          <w:rFonts w:ascii="Times New Roman" w:hAnsi="Times New Roman"/>
          <w:sz w:val="26"/>
          <w:szCs w:val="26"/>
        </w:rPr>
        <w:footnoteReference w:id="59"/>
      </w:r>
    </w:p>
    <w:p w:rsidR="00892988" w:rsidRPr="004005B3" w:rsidRDefault="003453B1" w:rsidP="00892988">
      <w:pPr>
        <w:spacing w:after="0" w:line="240" w:lineRule="auto"/>
        <w:ind w:firstLine="720"/>
        <w:jc w:val="both"/>
        <w:rPr>
          <w:rFonts w:ascii="Times New Roman" w:hAnsi="Times New Roman"/>
          <w:sz w:val="26"/>
          <w:szCs w:val="26"/>
        </w:rPr>
      </w:pPr>
      <w:r w:rsidRPr="004005B3">
        <w:rPr>
          <w:rFonts w:ascii="Times New Roman" w:hAnsi="Times New Roman"/>
          <w:sz w:val="26"/>
          <w:szCs w:val="26"/>
        </w:rPr>
        <w:t>Specific reserves are linked to specific loans and amount of reserve required usually depends on the length of time that payment of interest and principal have been past due. The general reserve is not linked to specific loans but reflects losses that experience indicates are present in the portfolio of loans but not yet specifically identified. Any amount set aside for future losses should be accounted for as appropriations of retained earnings; that is, not recognized as a current expenses.</w:t>
      </w:r>
      <w:r w:rsidRPr="004005B3">
        <w:rPr>
          <w:rStyle w:val="FootnoteReference"/>
          <w:rFonts w:ascii="Times New Roman" w:hAnsi="Times New Roman"/>
          <w:sz w:val="26"/>
          <w:szCs w:val="26"/>
        </w:rPr>
        <w:footnoteReference w:id="60"/>
      </w:r>
    </w:p>
    <w:p w:rsidR="00892988" w:rsidRPr="004005B3" w:rsidRDefault="003453B1" w:rsidP="00892988">
      <w:pPr>
        <w:spacing w:after="0" w:line="240" w:lineRule="auto"/>
        <w:ind w:firstLine="720"/>
        <w:jc w:val="both"/>
        <w:rPr>
          <w:rFonts w:ascii="Times New Roman" w:hAnsi="Times New Roman"/>
          <w:sz w:val="26"/>
          <w:szCs w:val="26"/>
        </w:rPr>
      </w:pPr>
      <w:r w:rsidRPr="004005B3">
        <w:rPr>
          <w:rFonts w:ascii="Times New Roman" w:hAnsi="Times New Roman"/>
          <w:sz w:val="26"/>
          <w:szCs w:val="26"/>
        </w:rPr>
        <w:t>Just like ordinary losses, some loans in the commercial banks will be uncollectible, and for that</w:t>
      </w:r>
      <w:r w:rsidR="00387942" w:rsidRPr="004005B3">
        <w:rPr>
          <w:rFonts w:ascii="Times New Roman" w:hAnsi="Times New Roman"/>
          <w:sz w:val="26"/>
          <w:szCs w:val="26"/>
        </w:rPr>
        <w:t xml:space="preserve"> reason</w:t>
      </w:r>
      <w:r w:rsidRPr="004005B3">
        <w:rPr>
          <w:rFonts w:ascii="Times New Roman" w:hAnsi="Times New Roman"/>
          <w:sz w:val="26"/>
          <w:szCs w:val="26"/>
        </w:rPr>
        <w:t xml:space="preserve">, to safeguard an uncontrollable loss, banks at times establish a reserve for loan losses equal to about 25% of the amount of these loans. The reserve for loan losses is not for future losses because they are already present in the portfolio of loans past due for 6 to 12 months and should be recognized as an expense for this period even though it is not possible at this time to identify just which loans will </w:t>
      </w:r>
      <w:r w:rsidR="00387942" w:rsidRPr="004005B3">
        <w:rPr>
          <w:rFonts w:ascii="Times New Roman" w:hAnsi="Times New Roman"/>
          <w:sz w:val="26"/>
          <w:szCs w:val="26"/>
        </w:rPr>
        <w:t xml:space="preserve">ultimately </w:t>
      </w:r>
      <w:r w:rsidRPr="004005B3">
        <w:rPr>
          <w:rFonts w:ascii="Times New Roman" w:hAnsi="Times New Roman"/>
          <w:sz w:val="26"/>
          <w:szCs w:val="26"/>
        </w:rPr>
        <w:t xml:space="preserve">be worthless.  For countries that use a loan classification scheme, a loan would be considered impaired when a specific reserve is required for the loan. In addition, when </w:t>
      </w:r>
      <w:r w:rsidRPr="004005B3">
        <w:rPr>
          <w:rFonts w:ascii="Times New Roman" w:hAnsi="Times New Roman"/>
          <w:sz w:val="26"/>
          <w:szCs w:val="26"/>
        </w:rPr>
        <w:lastRenderedPageBreak/>
        <w:t>interest ceases to accrue on a loan, uncollected interest that had been previously accrued should be reversed</w:t>
      </w:r>
      <w:r w:rsidR="00892988" w:rsidRPr="004005B3">
        <w:rPr>
          <w:rFonts w:ascii="Times New Roman" w:hAnsi="Times New Roman"/>
          <w:sz w:val="26"/>
          <w:szCs w:val="26"/>
        </w:rPr>
        <w:t>.</w:t>
      </w:r>
      <w:r w:rsidRPr="004005B3">
        <w:rPr>
          <w:rStyle w:val="FootnoteReference"/>
          <w:rFonts w:ascii="Times New Roman" w:hAnsi="Times New Roman"/>
          <w:sz w:val="26"/>
          <w:szCs w:val="26"/>
        </w:rPr>
        <w:footnoteReference w:id="61"/>
      </w:r>
    </w:p>
    <w:p w:rsidR="00892988" w:rsidRPr="004005B3" w:rsidRDefault="003453B1" w:rsidP="00892988">
      <w:pPr>
        <w:spacing w:after="0" w:line="240" w:lineRule="auto"/>
        <w:ind w:firstLine="720"/>
        <w:jc w:val="both"/>
        <w:rPr>
          <w:rFonts w:ascii="Times New Roman" w:hAnsi="Times New Roman"/>
          <w:sz w:val="26"/>
          <w:szCs w:val="26"/>
        </w:rPr>
      </w:pPr>
      <w:r w:rsidRPr="004005B3">
        <w:rPr>
          <w:rFonts w:ascii="Times New Roman" w:hAnsi="Times New Roman"/>
          <w:sz w:val="26"/>
          <w:szCs w:val="26"/>
        </w:rPr>
        <w:t xml:space="preserve">However, since there is a capital adequacy standard in most countries, bank, like any other business, </w:t>
      </w:r>
      <w:r w:rsidR="00F83E4F" w:rsidRPr="004005B3">
        <w:rPr>
          <w:rFonts w:ascii="Times New Roman" w:hAnsi="Times New Roman"/>
          <w:sz w:val="26"/>
          <w:szCs w:val="26"/>
        </w:rPr>
        <w:t>are</w:t>
      </w:r>
      <w:r w:rsidRPr="004005B3">
        <w:rPr>
          <w:rFonts w:ascii="Times New Roman" w:hAnsi="Times New Roman"/>
          <w:sz w:val="26"/>
          <w:szCs w:val="26"/>
        </w:rPr>
        <w:t xml:space="preserve"> enjoined to maintain sufficient capital to provide security and cushion to cover large and or unanticipated losses. In banks, there is closely related issue to the treatment of loan losses and the treatment of unpaid interest. Most banks, at least larger banks, are on the accrual method of accounting and thus accrue interest income on loans as the claim arises and n</w:t>
      </w:r>
      <w:r w:rsidR="00892988" w:rsidRPr="004005B3">
        <w:rPr>
          <w:rFonts w:ascii="Times New Roman" w:hAnsi="Times New Roman"/>
          <w:sz w:val="26"/>
          <w:szCs w:val="26"/>
        </w:rPr>
        <w:t>ot when the income is received.</w:t>
      </w:r>
    </w:p>
    <w:p w:rsidR="003453B1" w:rsidRPr="004005B3" w:rsidRDefault="003453B1" w:rsidP="00892988">
      <w:pPr>
        <w:spacing w:after="0" w:line="240" w:lineRule="auto"/>
        <w:ind w:firstLine="720"/>
        <w:jc w:val="both"/>
        <w:rPr>
          <w:rFonts w:ascii="Times New Roman" w:hAnsi="Times New Roman"/>
          <w:sz w:val="26"/>
          <w:szCs w:val="26"/>
        </w:rPr>
      </w:pPr>
      <w:r w:rsidRPr="004005B3">
        <w:rPr>
          <w:rFonts w:ascii="Times New Roman" w:hAnsi="Times New Roman"/>
          <w:sz w:val="26"/>
          <w:szCs w:val="26"/>
        </w:rPr>
        <w:t>For this, it is important to note that the general losses provision cannot be greater than 1.25% of risk-weighted assets. This, in part, ensures that the regulatory authority does not set a high mandatory general provision to offset the tendency of certain banks to under-provide for non-performing loans.</w:t>
      </w:r>
      <w:r w:rsidRPr="004005B3">
        <w:rPr>
          <w:rStyle w:val="FootnoteReference"/>
          <w:rFonts w:ascii="Times New Roman" w:hAnsi="Times New Roman"/>
          <w:sz w:val="26"/>
          <w:szCs w:val="26"/>
        </w:rPr>
        <w:footnoteReference w:id="62"/>
      </w:r>
      <w:r w:rsidRPr="004005B3">
        <w:rPr>
          <w:rFonts w:ascii="Times New Roman" w:hAnsi="Times New Roman"/>
          <w:sz w:val="26"/>
          <w:szCs w:val="26"/>
        </w:rPr>
        <w:t xml:space="preserve"> Thus, whenever a loss is to be deducted, the aggregate deduction from assessable profit or income in respect of any such loss must not exceed the amount of such loss and the deduction for any particular year of assessment must not exceed the amount of the assessable profits included in the total profits for that year of assessment, from the trade or business in which the losses were incurred</w:t>
      </w:r>
      <w:r w:rsidR="00892988" w:rsidRPr="004005B3">
        <w:rPr>
          <w:rFonts w:ascii="Times New Roman" w:hAnsi="Times New Roman"/>
          <w:sz w:val="26"/>
          <w:szCs w:val="26"/>
        </w:rPr>
        <w:t>.</w:t>
      </w:r>
      <w:r w:rsidRPr="004005B3">
        <w:rPr>
          <w:rStyle w:val="FootnoteReference"/>
          <w:rFonts w:ascii="Times New Roman" w:hAnsi="Times New Roman"/>
          <w:sz w:val="26"/>
          <w:szCs w:val="26"/>
        </w:rPr>
        <w:footnoteReference w:id="63"/>
      </w:r>
    </w:p>
    <w:p w:rsidR="00892988" w:rsidRPr="004005B3" w:rsidRDefault="00892988" w:rsidP="00892988">
      <w:pPr>
        <w:spacing w:after="0" w:line="240" w:lineRule="auto"/>
        <w:ind w:firstLine="720"/>
        <w:jc w:val="both"/>
        <w:rPr>
          <w:rFonts w:ascii="Times New Roman" w:hAnsi="Times New Roman"/>
          <w:sz w:val="26"/>
          <w:szCs w:val="26"/>
        </w:rPr>
      </w:pPr>
    </w:p>
    <w:p w:rsidR="003453B1" w:rsidRPr="004005B3" w:rsidRDefault="00892988" w:rsidP="003453B1">
      <w:pPr>
        <w:spacing w:after="0" w:line="240" w:lineRule="auto"/>
        <w:jc w:val="both"/>
        <w:rPr>
          <w:rFonts w:ascii="Times New Roman" w:hAnsi="Times New Roman"/>
          <w:b/>
          <w:sz w:val="26"/>
          <w:szCs w:val="26"/>
        </w:rPr>
      </w:pPr>
      <w:r w:rsidRPr="004005B3">
        <w:rPr>
          <w:rFonts w:ascii="Times New Roman" w:hAnsi="Times New Roman"/>
          <w:b/>
          <w:sz w:val="26"/>
          <w:szCs w:val="26"/>
        </w:rPr>
        <w:t>4.4 Proof of Bad Debt</w:t>
      </w:r>
    </w:p>
    <w:p w:rsidR="003453B1" w:rsidRPr="004005B3" w:rsidRDefault="00F83E4F" w:rsidP="003453B1">
      <w:pPr>
        <w:spacing w:after="0" w:line="240" w:lineRule="auto"/>
        <w:jc w:val="both"/>
        <w:rPr>
          <w:rFonts w:ascii="Times New Roman" w:hAnsi="Times New Roman"/>
          <w:sz w:val="26"/>
          <w:szCs w:val="26"/>
        </w:rPr>
      </w:pPr>
      <w:r w:rsidRPr="004005B3">
        <w:rPr>
          <w:rFonts w:ascii="Times New Roman" w:hAnsi="Times New Roman"/>
          <w:sz w:val="26"/>
          <w:szCs w:val="26"/>
        </w:rPr>
        <w:t>The o</w:t>
      </w:r>
      <w:r w:rsidR="003453B1" w:rsidRPr="004005B3">
        <w:rPr>
          <w:rFonts w:ascii="Times New Roman" w:hAnsi="Times New Roman"/>
          <w:sz w:val="26"/>
          <w:szCs w:val="26"/>
        </w:rPr>
        <w:t>nus of proving that a debt is bad rests with the taxpayer,</w:t>
      </w:r>
      <w:r w:rsidR="003453B1" w:rsidRPr="004005B3">
        <w:rPr>
          <w:rStyle w:val="FootnoteReference"/>
          <w:rFonts w:ascii="Times New Roman" w:hAnsi="Times New Roman"/>
          <w:sz w:val="26"/>
          <w:szCs w:val="26"/>
        </w:rPr>
        <w:footnoteReference w:id="64"/>
      </w:r>
      <w:r w:rsidR="003453B1" w:rsidRPr="004005B3">
        <w:rPr>
          <w:rFonts w:ascii="Times New Roman" w:hAnsi="Times New Roman"/>
          <w:sz w:val="26"/>
          <w:szCs w:val="26"/>
        </w:rPr>
        <w:t xml:space="preserve"> but in some instance</w:t>
      </w:r>
      <w:r w:rsidRPr="004005B3">
        <w:rPr>
          <w:rFonts w:ascii="Times New Roman" w:hAnsi="Times New Roman"/>
          <w:sz w:val="26"/>
          <w:szCs w:val="26"/>
        </w:rPr>
        <w:t>s</w:t>
      </w:r>
      <w:r w:rsidR="003453B1" w:rsidRPr="004005B3">
        <w:rPr>
          <w:rFonts w:ascii="Times New Roman" w:hAnsi="Times New Roman"/>
          <w:sz w:val="26"/>
          <w:szCs w:val="26"/>
        </w:rPr>
        <w:t xml:space="preserve">, the nature of a debt will be what will qualify a debt to be bad or not, hence the opinion of Rowlatt J in </w:t>
      </w:r>
      <w:r w:rsidR="003453B1" w:rsidRPr="004005B3">
        <w:rPr>
          <w:rFonts w:ascii="Times New Roman" w:hAnsi="Times New Roman"/>
          <w:i/>
          <w:sz w:val="26"/>
          <w:szCs w:val="26"/>
        </w:rPr>
        <w:t>Anderton and Halsted v Birrill,</w:t>
      </w:r>
      <w:r w:rsidR="003453B1" w:rsidRPr="004005B3">
        <w:rPr>
          <w:rStyle w:val="FootnoteReference"/>
          <w:rFonts w:ascii="Times New Roman" w:hAnsi="Times New Roman"/>
          <w:sz w:val="26"/>
          <w:szCs w:val="26"/>
        </w:rPr>
        <w:footnoteReference w:id="65"/>
      </w:r>
      <w:r w:rsidR="003453B1" w:rsidRPr="004005B3">
        <w:rPr>
          <w:rFonts w:ascii="Times New Roman" w:hAnsi="Times New Roman"/>
          <w:sz w:val="26"/>
          <w:szCs w:val="26"/>
        </w:rPr>
        <w:t xml:space="preserve"> that:</w:t>
      </w:r>
    </w:p>
    <w:p w:rsidR="003453B1" w:rsidRPr="004005B3" w:rsidRDefault="003453B1" w:rsidP="00275218">
      <w:pPr>
        <w:spacing w:after="0" w:line="240" w:lineRule="auto"/>
        <w:ind w:left="720" w:right="720"/>
        <w:jc w:val="both"/>
        <w:rPr>
          <w:rFonts w:ascii="Times New Roman" w:hAnsi="Times New Roman"/>
          <w:sz w:val="24"/>
          <w:szCs w:val="24"/>
        </w:rPr>
      </w:pPr>
      <w:r w:rsidRPr="004005B3">
        <w:rPr>
          <w:rFonts w:ascii="Times New Roman" w:hAnsi="Times New Roman"/>
          <w:sz w:val="24"/>
          <w:szCs w:val="24"/>
        </w:rPr>
        <w:lastRenderedPageBreak/>
        <w:t>What the statute requires, therefore, is an estimate to what extent a debt is bad, and this is for the purpose of a profit and loss account. Such an estimate is not a prophesy to be judged as to its truth by after</w:t>
      </w:r>
      <w:r w:rsidR="00275218" w:rsidRPr="004005B3">
        <w:rPr>
          <w:rFonts w:ascii="Times New Roman" w:hAnsi="Times New Roman"/>
          <w:sz w:val="24"/>
          <w:szCs w:val="24"/>
        </w:rPr>
        <w:t xml:space="preserve"> </w:t>
      </w:r>
      <w:r w:rsidRPr="004005B3">
        <w:rPr>
          <w:rFonts w:ascii="Times New Roman" w:hAnsi="Times New Roman"/>
          <w:sz w:val="24"/>
          <w:szCs w:val="24"/>
        </w:rPr>
        <w:t xml:space="preserve">events, but a valuation of an </w:t>
      </w:r>
      <w:r w:rsidRPr="004005B3">
        <w:rPr>
          <w:rFonts w:ascii="Times New Roman" w:hAnsi="Times New Roman"/>
          <w:i/>
          <w:sz w:val="24"/>
          <w:szCs w:val="24"/>
        </w:rPr>
        <w:t>asset de praesenti</w:t>
      </w:r>
      <w:r w:rsidRPr="004005B3">
        <w:rPr>
          <w:rFonts w:ascii="Times New Roman" w:hAnsi="Times New Roman"/>
          <w:sz w:val="24"/>
          <w:szCs w:val="24"/>
        </w:rPr>
        <w:t xml:space="preserve"> upon an uncertain  future to be judged as to its soundness as to estimate upon the then facts and probability.</w:t>
      </w:r>
    </w:p>
    <w:p w:rsidR="00275218" w:rsidRPr="004005B3" w:rsidRDefault="00275218" w:rsidP="00275218">
      <w:pPr>
        <w:spacing w:after="0" w:line="240" w:lineRule="auto"/>
        <w:ind w:left="720" w:right="720"/>
        <w:jc w:val="both"/>
        <w:rPr>
          <w:rFonts w:ascii="Times New Roman" w:hAnsi="Times New Roman"/>
          <w:sz w:val="24"/>
          <w:szCs w:val="24"/>
        </w:rPr>
      </w:pPr>
    </w:p>
    <w:p w:rsidR="00275218" w:rsidRPr="004005B3" w:rsidRDefault="003453B1" w:rsidP="00275218">
      <w:pPr>
        <w:spacing w:after="0" w:line="240" w:lineRule="auto"/>
        <w:ind w:firstLine="720"/>
        <w:jc w:val="both"/>
        <w:rPr>
          <w:rFonts w:ascii="Times New Roman" w:hAnsi="Times New Roman"/>
          <w:sz w:val="26"/>
          <w:szCs w:val="26"/>
        </w:rPr>
      </w:pPr>
      <w:r w:rsidRPr="004005B3">
        <w:rPr>
          <w:rFonts w:ascii="Times New Roman" w:hAnsi="Times New Roman"/>
          <w:sz w:val="26"/>
          <w:szCs w:val="26"/>
        </w:rPr>
        <w:t xml:space="preserve">In </w:t>
      </w:r>
      <w:r w:rsidR="00223770" w:rsidRPr="004005B3">
        <w:rPr>
          <w:rFonts w:ascii="Times New Roman" w:hAnsi="Times New Roman"/>
          <w:sz w:val="26"/>
          <w:szCs w:val="26"/>
        </w:rPr>
        <w:t>a decided case, t</w:t>
      </w:r>
      <w:r w:rsidRPr="004005B3">
        <w:rPr>
          <w:rFonts w:ascii="Times New Roman" w:hAnsi="Times New Roman"/>
          <w:sz w:val="26"/>
          <w:szCs w:val="26"/>
        </w:rPr>
        <w:t>he court was of the opinion that the declaration as bad or otherwise of a debt is surely on the appropriate tribunal.</w:t>
      </w:r>
      <w:r w:rsidRPr="004005B3">
        <w:rPr>
          <w:rStyle w:val="FootnoteReference"/>
          <w:rFonts w:ascii="Times New Roman" w:hAnsi="Times New Roman"/>
          <w:sz w:val="26"/>
          <w:szCs w:val="26"/>
        </w:rPr>
        <w:footnoteReference w:id="66"/>
      </w:r>
      <w:r w:rsidRPr="004005B3">
        <w:rPr>
          <w:rFonts w:ascii="Times New Roman" w:hAnsi="Times New Roman"/>
          <w:sz w:val="26"/>
          <w:szCs w:val="26"/>
        </w:rPr>
        <w:t xml:space="preserve">  In the words of the court per Russell of Killowen </w:t>
      </w:r>
      <w:r w:rsidR="00275218" w:rsidRPr="004005B3">
        <w:rPr>
          <w:rFonts w:ascii="Times New Roman" w:hAnsi="Times New Roman"/>
          <w:sz w:val="26"/>
          <w:szCs w:val="26"/>
        </w:rPr>
        <w:t>“</w:t>
      </w:r>
      <w:r w:rsidRPr="004005B3">
        <w:rPr>
          <w:rFonts w:ascii="Times New Roman" w:hAnsi="Times New Roman"/>
          <w:sz w:val="26"/>
          <w:szCs w:val="26"/>
        </w:rPr>
        <w:t>whether a debt is wholly or partially and to what extent bad or irrevocable is in every case (and whether debt</w:t>
      </w:r>
      <w:r w:rsidR="0089298A" w:rsidRPr="004005B3">
        <w:rPr>
          <w:rFonts w:ascii="Times New Roman" w:hAnsi="Times New Roman"/>
          <w:sz w:val="26"/>
          <w:szCs w:val="26"/>
        </w:rPr>
        <w:t>or</w:t>
      </w:r>
      <w:r w:rsidRPr="004005B3">
        <w:rPr>
          <w:rFonts w:ascii="Times New Roman" w:hAnsi="Times New Roman"/>
          <w:sz w:val="26"/>
          <w:szCs w:val="26"/>
        </w:rPr>
        <w:t xml:space="preserve"> is a human being or a joint-stock company or other entity) a question of fact to be decided by the appropriate tribunal upon a consideration of the rele</w:t>
      </w:r>
      <w:r w:rsidR="0089298A" w:rsidRPr="004005B3">
        <w:rPr>
          <w:rFonts w:ascii="Times New Roman" w:hAnsi="Times New Roman"/>
          <w:sz w:val="26"/>
          <w:szCs w:val="26"/>
        </w:rPr>
        <w:t>va</w:t>
      </w:r>
      <w:r w:rsidRPr="004005B3">
        <w:rPr>
          <w:rFonts w:ascii="Times New Roman" w:hAnsi="Times New Roman"/>
          <w:sz w:val="26"/>
          <w:szCs w:val="26"/>
        </w:rPr>
        <w:t>nt fact</w:t>
      </w:r>
      <w:r w:rsidR="0089298A" w:rsidRPr="004005B3">
        <w:rPr>
          <w:rFonts w:ascii="Times New Roman" w:hAnsi="Times New Roman"/>
          <w:sz w:val="26"/>
          <w:szCs w:val="26"/>
        </w:rPr>
        <w:t>s</w:t>
      </w:r>
      <w:r w:rsidRPr="004005B3">
        <w:rPr>
          <w:rFonts w:ascii="Times New Roman" w:hAnsi="Times New Roman"/>
          <w:sz w:val="26"/>
          <w:szCs w:val="26"/>
        </w:rPr>
        <w:t xml:space="preserve"> of that case</w:t>
      </w:r>
      <w:r w:rsidR="00275218" w:rsidRPr="004005B3">
        <w:rPr>
          <w:rFonts w:ascii="Times New Roman" w:hAnsi="Times New Roman"/>
          <w:sz w:val="26"/>
          <w:szCs w:val="26"/>
        </w:rPr>
        <w:t>.”</w:t>
      </w:r>
    </w:p>
    <w:p w:rsidR="003453B1" w:rsidRPr="004005B3" w:rsidRDefault="003453B1" w:rsidP="00275218">
      <w:pPr>
        <w:spacing w:after="0" w:line="240" w:lineRule="auto"/>
        <w:ind w:firstLine="720"/>
        <w:jc w:val="both"/>
        <w:rPr>
          <w:rFonts w:ascii="Times New Roman" w:hAnsi="Times New Roman"/>
          <w:sz w:val="26"/>
          <w:szCs w:val="26"/>
        </w:rPr>
      </w:pPr>
      <w:r w:rsidRPr="004005B3">
        <w:rPr>
          <w:rFonts w:ascii="Times New Roman" w:hAnsi="Times New Roman"/>
          <w:sz w:val="26"/>
          <w:szCs w:val="26"/>
        </w:rPr>
        <w:t>Furthermore, a</w:t>
      </w:r>
      <w:r w:rsidR="0089298A" w:rsidRPr="004005B3">
        <w:rPr>
          <w:rFonts w:ascii="Times New Roman" w:hAnsi="Times New Roman"/>
          <w:sz w:val="26"/>
          <w:szCs w:val="26"/>
        </w:rPr>
        <w:t>t</w:t>
      </w:r>
      <w:r w:rsidRPr="004005B3">
        <w:rPr>
          <w:rFonts w:ascii="Times New Roman" w:hAnsi="Times New Roman"/>
          <w:sz w:val="26"/>
          <w:szCs w:val="26"/>
        </w:rPr>
        <w:t xml:space="preserve"> time</w:t>
      </w:r>
      <w:r w:rsidR="0089298A" w:rsidRPr="004005B3">
        <w:rPr>
          <w:rFonts w:ascii="Times New Roman" w:hAnsi="Times New Roman"/>
          <w:sz w:val="26"/>
          <w:szCs w:val="26"/>
        </w:rPr>
        <w:t>s</w:t>
      </w:r>
      <w:r w:rsidRPr="004005B3">
        <w:rPr>
          <w:rFonts w:ascii="Times New Roman" w:hAnsi="Times New Roman"/>
          <w:sz w:val="26"/>
          <w:szCs w:val="26"/>
        </w:rPr>
        <w:t xml:space="preserve">, a bad debt by circumstances could turn to serviceable and recoverable debt. According to Lord Porter in </w:t>
      </w:r>
      <w:r w:rsidRPr="004005B3">
        <w:rPr>
          <w:rFonts w:ascii="Times New Roman" w:hAnsi="Times New Roman"/>
          <w:i/>
          <w:sz w:val="26"/>
          <w:szCs w:val="26"/>
        </w:rPr>
        <w:t>Absalom v Talbot</w:t>
      </w:r>
      <w:r w:rsidR="00275218" w:rsidRPr="004005B3">
        <w:rPr>
          <w:rFonts w:ascii="Times New Roman" w:hAnsi="Times New Roman"/>
          <w:sz w:val="26"/>
          <w:szCs w:val="26"/>
        </w:rPr>
        <w:t>:</w:t>
      </w:r>
      <w:r w:rsidRPr="004005B3">
        <w:rPr>
          <w:rStyle w:val="FootnoteReference"/>
          <w:rFonts w:ascii="Times New Roman" w:hAnsi="Times New Roman"/>
          <w:sz w:val="26"/>
          <w:szCs w:val="26"/>
        </w:rPr>
        <w:footnoteReference w:id="67"/>
      </w:r>
      <w:r w:rsidRPr="004005B3">
        <w:rPr>
          <w:rFonts w:ascii="Times New Roman" w:hAnsi="Times New Roman"/>
          <w:sz w:val="26"/>
          <w:szCs w:val="26"/>
        </w:rPr>
        <w:t xml:space="preserve"> </w:t>
      </w:r>
    </w:p>
    <w:p w:rsidR="00275218" w:rsidRPr="004005B3" w:rsidRDefault="00275218" w:rsidP="00275218">
      <w:pPr>
        <w:spacing w:after="0" w:line="240" w:lineRule="auto"/>
        <w:ind w:left="720" w:right="720"/>
        <w:jc w:val="both"/>
        <w:rPr>
          <w:rFonts w:ascii="Times New Roman" w:hAnsi="Times New Roman"/>
          <w:sz w:val="24"/>
          <w:szCs w:val="24"/>
        </w:rPr>
      </w:pPr>
    </w:p>
    <w:p w:rsidR="003453B1" w:rsidRPr="004005B3" w:rsidRDefault="00275218" w:rsidP="00275218">
      <w:pPr>
        <w:spacing w:after="0" w:line="240" w:lineRule="auto"/>
        <w:ind w:left="720" w:right="720"/>
        <w:jc w:val="both"/>
        <w:rPr>
          <w:rFonts w:ascii="Times New Roman" w:hAnsi="Times New Roman"/>
          <w:sz w:val="24"/>
          <w:szCs w:val="24"/>
        </w:rPr>
      </w:pPr>
      <w:r w:rsidRPr="004005B3">
        <w:rPr>
          <w:rFonts w:ascii="Times New Roman" w:hAnsi="Times New Roman"/>
          <w:sz w:val="24"/>
          <w:szCs w:val="24"/>
        </w:rPr>
        <w:t>....</w:t>
      </w:r>
      <w:r w:rsidR="003453B1" w:rsidRPr="004005B3">
        <w:rPr>
          <w:rFonts w:ascii="Times New Roman" w:hAnsi="Times New Roman"/>
          <w:sz w:val="24"/>
          <w:szCs w:val="24"/>
        </w:rPr>
        <w:t>attention, however, had been drawn to the practice in the past of the Inland Revenue authorities of making an allowance in respect of losses</w:t>
      </w:r>
      <w:r w:rsidRPr="004005B3">
        <w:rPr>
          <w:rFonts w:ascii="Times New Roman" w:hAnsi="Times New Roman"/>
          <w:sz w:val="24"/>
          <w:szCs w:val="24"/>
        </w:rPr>
        <w:t xml:space="preserve"> </w:t>
      </w:r>
      <w:r w:rsidR="003453B1" w:rsidRPr="004005B3">
        <w:rPr>
          <w:rFonts w:ascii="Times New Roman" w:hAnsi="Times New Roman"/>
          <w:sz w:val="24"/>
          <w:szCs w:val="24"/>
        </w:rPr>
        <w:t>for bad debt or doubtful debts as and when they occur, though the debt itself was originally treated as being of its face value in a previous year’s accounts. Such a practice necessitates, I think, the corresponding obligation on the part of the taxpayer to submit in a later year to an increase</w:t>
      </w:r>
      <w:r w:rsidRPr="004005B3">
        <w:rPr>
          <w:rFonts w:ascii="Times New Roman" w:hAnsi="Times New Roman"/>
          <w:sz w:val="24"/>
          <w:szCs w:val="24"/>
        </w:rPr>
        <w:t xml:space="preserve"> </w:t>
      </w:r>
      <w:r w:rsidR="003453B1" w:rsidRPr="004005B3">
        <w:rPr>
          <w:rFonts w:ascii="Times New Roman" w:hAnsi="Times New Roman"/>
          <w:sz w:val="24"/>
          <w:szCs w:val="24"/>
        </w:rPr>
        <w:t>in the sum at which a debt previously treated as bad or doubtful should be</w:t>
      </w:r>
      <w:r w:rsidRPr="004005B3">
        <w:rPr>
          <w:rFonts w:ascii="Times New Roman" w:hAnsi="Times New Roman"/>
          <w:sz w:val="24"/>
          <w:szCs w:val="24"/>
        </w:rPr>
        <w:t xml:space="preserve"> </w:t>
      </w:r>
      <w:r w:rsidR="003453B1" w:rsidRPr="004005B3">
        <w:rPr>
          <w:rFonts w:ascii="Times New Roman" w:hAnsi="Times New Roman"/>
          <w:sz w:val="24"/>
          <w:szCs w:val="24"/>
        </w:rPr>
        <w:t xml:space="preserve">brought into account if, in fact, a payment greater than the assumed value had been </w:t>
      </w:r>
      <w:r w:rsidR="003453B1" w:rsidRPr="004005B3">
        <w:rPr>
          <w:rFonts w:ascii="Times New Roman" w:hAnsi="Times New Roman"/>
          <w:sz w:val="24"/>
          <w:szCs w:val="24"/>
        </w:rPr>
        <w:lastRenderedPageBreak/>
        <w:t>obtained or seems likely to be obtained, on a later occasion.</w:t>
      </w:r>
    </w:p>
    <w:p w:rsidR="00275218" w:rsidRPr="004005B3" w:rsidRDefault="00275218" w:rsidP="003453B1">
      <w:pPr>
        <w:spacing w:after="0" w:line="240" w:lineRule="auto"/>
        <w:jc w:val="both"/>
        <w:rPr>
          <w:rFonts w:ascii="Times New Roman" w:hAnsi="Times New Roman"/>
          <w:sz w:val="26"/>
          <w:szCs w:val="26"/>
        </w:rPr>
      </w:pPr>
    </w:p>
    <w:p w:rsidR="003453B1" w:rsidRPr="004005B3" w:rsidRDefault="003453B1" w:rsidP="00275218">
      <w:pPr>
        <w:spacing w:after="0" w:line="240" w:lineRule="auto"/>
        <w:ind w:firstLine="720"/>
        <w:jc w:val="both"/>
        <w:rPr>
          <w:rFonts w:ascii="Times New Roman" w:hAnsi="Times New Roman"/>
          <w:sz w:val="26"/>
          <w:szCs w:val="26"/>
        </w:rPr>
      </w:pPr>
      <w:r w:rsidRPr="004005B3">
        <w:rPr>
          <w:rFonts w:ascii="Times New Roman" w:hAnsi="Times New Roman"/>
          <w:sz w:val="26"/>
          <w:szCs w:val="26"/>
        </w:rPr>
        <w:t>In a later case</w:t>
      </w:r>
      <w:r w:rsidR="00275218" w:rsidRPr="004005B3">
        <w:rPr>
          <w:rFonts w:ascii="Times New Roman" w:hAnsi="Times New Roman"/>
          <w:sz w:val="26"/>
          <w:szCs w:val="26"/>
        </w:rPr>
        <w:t>,</w:t>
      </w:r>
      <w:r w:rsidRPr="004005B3">
        <w:rPr>
          <w:rStyle w:val="FootnoteReference"/>
          <w:rFonts w:ascii="Times New Roman" w:hAnsi="Times New Roman"/>
          <w:sz w:val="26"/>
          <w:szCs w:val="26"/>
        </w:rPr>
        <w:footnoteReference w:id="68"/>
      </w:r>
      <w:r w:rsidRPr="004005B3">
        <w:rPr>
          <w:rFonts w:ascii="Times New Roman" w:hAnsi="Times New Roman"/>
          <w:sz w:val="26"/>
          <w:szCs w:val="26"/>
        </w:rPr>
        <w:t xml:space="preserve"> Lord Greene M.R disagrees with the opinion of Lord Porter.  In his opinion</w:t>
      </w:r>
      <w:r w:rsidR="00275218" w:rsidRPr="004005B3">
        <w:rPr>
          <w:rFonts w:ascii="Times New Roman" w:hAnsi="Times New Roman"/>
          <w:sz w:val="26"/>
          <w:szCs w:val="26"/>
        </w:rPr>
        <w:t>:</w:t>
      </w:r>
      <w:r w:rsidRPr="004005B3">
        <w:rPr>
          <w:rFonts w:ascii="Times New Roman" w:hAnsi="Times New Roman"/>
          <w:sz w:val="26"/>
          <w:szCs w:val="26"/>
        </w:rPr>
        <w:t xml:space="preserve"> </w:t>
      </w:r>
    </w:p>
    <w:p w:rsidR="00275218" w:rsidRPr="004005B3" w:rsidRDefault="00275218" w:rsidP="00275218">
      <w:pPr>
        <w:spacing w:after="0" w:line="240" w:lineRule="auto"/>
        <w:ind w:left="720" w:right="720"/>
        <w:jc w:val="both"/>
        <w:rPr>
          <w:rFonts w:ascii="Times New Roman" w:hAnsi="Times New Roman"/>
          <w:sz w:val="24"/>
          <w:szCs w:val="24"/>
        </w:rPr>
      </w:pPr>
    </w:p>
    <w:p w:rsidR="003453B1" w:rsidRPr="004005B3" w:rsidRDefault="003453B1" w:rsidP="00275218">
      <w:pPr>
        <w:spacing w:after="0" w:line="240" w:lineRule="auto"/>
        <w:ind w:left="720" w:right="720"/>
        <w:jc w:val="both"/>
        <w:rPr>
          <w:rFonts w:ascii="Times New Roman" w:hAnsi="Times New Roman"/>
          <w:sz w:val="24"/>
          <w:szCs w:val="24"/>
        </w:rPr>
      </w:pPr>
      <w:r w:rsidRPr="004005B3">
        <w:rPr>
          <w:rFonts w:ascii="Times New Roman" w:hAnsi="Times New Roman"/>
          <w:sz w:val="24"/>
          <w:szCs w:val="24"/>
        </w:rPr>
        <w:t>Lord Porter seems to have taken the rather more extreme view that</w:t>
      </w:r>
      <w:r w:rsidR="00275218" w:rsidRPr="004005B3">
        <w:rPr>
          <w:rFonts w:ascii="Times New Roman" w:hAnsi="Times New Roman"/>
          <w:sz w:val="24"/>
          <w:szCs w:val="24"/>
        </w:rPr>
        <w:t xml:space="preserve"> </w:t>
      </w:r>
      <w:r w:rsidRPr="004005B3">
        <w:rPr>
          <w:rFonts w:ascii="Times New Roman" w:hAnsi="Times New Roman"/>
          <w:sz w:val="24"/>
          <w:szCs w:val="24"/>
        </w:rPr>
        <w:t>even if it were not paid, a mere change of the debt value would justify</w:t>
      </w:r>
      <w:r w:rsidR="00275218" w:rsidRPr="004005B3">
        <w:rPr>
          <w:rFonts w:ascii="Times New Roman" w:hAnsi="Times New Roman"/>
          <w:sz w:val="24"/>
          <w:szCs w:val="24"/>
        </w:rPr>
        <w:t xml:space="preserve"> </w:t>
      </w:r>
      <w:r w:rsidRPr="004005B3">
        <w:rPr>
          <w:rFonts w:ascii="Times New Roman" w:hAnsi="Times New Roman"/>
          <w:sz w:val="24"/>
          <w:szCs w:val="24"/>
        </w:rPr>
        <w:t>giving effect to that change in the account of the year in which it took place.</w:t>
      </w:r>
    </w:p>
    <w:p w:rsidR="00275218" w:rsidRPr="004005B3" w:rsidRDefault="00275218" w:rsidP="003453B1">
      <w:pPr>
        <w:spacing w:after="0" w:line="240" w:lineRule="auto"/>
        <w:jc w:val="both"/>
        <w:rPr>
          <w:rFonts w:ascii="Times New Roman" w:hAnsi="Times New Roman"/>
          <w:sz w:val="26"/>
          <w:szCs w:val="26"/>
        </w:rPr>
      </w:pPr>
    </w:p>
    <w:p w:rsidR="003453B1" w:rsidRPr="004005B3" w:rsidRDefault="003453B1" w:rsidP="00275218">
      <w:pPr>
        <w:spacing w:after="0" w:line="240" w:lineRule="auto"/>
        <w:ind w:firstLine="720"/>
        <w:jc w:val="both"/>
        <w:rPr>
          <w:rFonts w:ascii="Times New Roman" w:hAnsi="Times New Roman"/>
          <w:sz w:val="26"/>
          <w:szCs w:val="26"/>
        </w:rPr>
      </w:pPr>
      <w:r w:rsidRPr="004005B3">
        <w:rPr>
          <w:rFonts w:ascii="Times New Roman" w:hAnsi="Times New Roman"/>
          <w:sz w:val="26"/>
          <w:szCs w:val="26"/>
        </w:rPr>
        <w:t>However, despite Lord Greene’s doubts, it is evident now that the universal practice of re-appraising debt on a year-by-year basis is by now so established that it is unlikely that any court would decide that it was wrong or misguided</w:t>
      </w:r>
      <w:r w:rsidR="00275218" w:rsidRPr="004005B3">
        <w:rPr>
          <w:rFonts w:ascii="Times New Roman" w:hAnsi="Times New Roman"/>
          <w:sz w:val="26"/>
          <w:szCs w:val="26"/>
        </w:rPr>
        <w:t>.</w:t>
      </w:r>
      <w:r w:rsidRPr="004005B3">
        <w:rPr>
          <w:rStyle w:val="FootnoteReference"/>
          <w:rFonts w:ascii="Times New Roman" w:hAnsi="Times New Roman"/>
          <w:sz w:val="26"/>
          <w:szCs w:val="26"/>
        </w:rPr>
        <w:footnoteReference w:id="69"/>
      </w:r>
    </w:p>
    <w:p w:rsidR="003453B1" w:rsidRPr="004005B3" w:rsidRDefault="003453B1" w:rsidP="003453B1">
      <w:pPr>
        <w:spacing w:after="0" w:line="240" w:lineRule="auto"/>
        <w:jc w:val="both"/>
        <w:rPr>
          <w:rFonts w:ascii="Times New Roman" w:hAnsi="Times New Roman"/>
          <w:sz w:val="26"/>
          <w:szCs w:val="26"/>
        </w:rPr>
      </w:pPr>
    </w:p>
    <w:p w:rsidR="003453B1" w:rsidRPr="004005B3" w:rsidRDefault="00275218" w:rsidP="003453B1">
      <w:pPr>
        <w:spacing w:after="0" w:line="240" w:lineRule="auto"/>
        <w:jc w:val="both"/>
        <w:rPr>
          <w:rFonts w:ascii="Times New Roman" w:hAnsi="Times New Roman"/>
          <w:b/>
          <w:sz w:val="26"/>
          <w:szCs w:val="26"/>
        </w:rPr>
      </w:pPr>
      <w:r w:rsidRPr="004005B3">
        <w:rPr>
          <w:rFonts w:ascii="Times New Roman" w:hAnsi="Times New Roman"/>
          <w:b/>
          <w:sz w:val="26"/>
          <w:szCs w:val="26"/>
        </w:rPr>
        <w:t xml:space="preserve">5. </w:t>
      </w:r>
      <w:r w:rsidR="003453B1" w:rsidRPr="004005B3">
        <w:rPr>
          <w:rFonts w:ascii="Times New Roman" w:hAnsi="Times New Roman"/>
          <w:b/>
          <w:sz w:val="26"/>
          <w:szCs w:val="26"/>
        </w:rPr>
        <w:t>Conclusion and Recommendations</w:t>
      </w:r>
    </w:p>
    <w:p w:rsidR="003453B1" w:rsidRPr="004005B3" w:rsidRDefault="003453B1" w:rsidP="003453B1">
      <w:pPr>
        <w:spacing w:after="0" w:line="240" w:lineRule="auto"/>
        <w:jc w:val="both"/>
        <w:rPr>
          <w:rFonts w:ascii="Times New Roman" w:hAnsi="Times New Roman"/>
          <w:sz w:val="26"/>
          <w:szCs w:val="26"/>
        </w:rPr>
      </w:pPr>
      <w:r w:rsidRPr="004005B3">
        <w:rPr>
          <w:rFonts w:ascii="Times New Roman" w:hAnsi="Times New Roman"/>
          <w:sz w:val="26"/>
          <w:szCs w:val="26"/>
        </w:rPr>
        <w:t xml:space="preserve">Premised on the discussion in this paper, it could be gleaned that, as profit is envisaged in the banking business, loss or failure to repay some loan may </w:t>
      </w:r>
      <w:r w:rsidR="0089298A" w:rsidRPr="004005B3">
        <w:rPr>
          <w:rFonts w:ascii="Times New Roman" w:hAnsi="Times New Roman"/>
          <w:sz w:val="26"/>
          <w:szCs w:val="26"/>
        </w:rPr>
        <w:t xml:space="preserve">sometimes </w:t>
      </w:r>
      <w:r w:rsidRPr="004005B3">
        <w:rPr>
          <w:rFonts w:ascii="Times New Roman" w:hAnsi="Times New Roman"/>
          <w:sz w:val="26"/>
          <w:szCs w:val="26"/>
        </w:rPr>
        <w:t>occur.  And since it is not possible for the entire loan to be repaid, such loans would be categorised as bad debts. Bad debts are debt</w:t>
      </w:r>
      <w:r w:rsidR="0089298A" w:rsidRPr="004005B3">
        <w:rPr>
          <w:rFonts w:ascii="Times New Roman" w:hAnsi="Times New Roman"/>
          <w:sz w:val="26"/>
          <w:szCs w:val="26"/>
        </w:rPr>
        <w:t>s</w:t>
      </w:r>
      <w:r w:rsidRPr="004005B3">
        <w:rPr>
          <w:rFonts w:ascii="Times New Roman" w:hAnsi="Times New Roman"/>
          <w:sz w:val="26"/>
          <w:szCs w:val="26"/>
        </w:rPr>
        <w:t xml:space="preserve"> that </w:t>
      </w:r>
      <w:r w:rsidR="0089298A" w:rsidRPr="004005B3">
        <w:rPr>
          <w:rFonts w:ascii="Times New Roman" w:hAnsi="Times New Roman"/>
          <w:sz w:val="26"/>
          <w:szCs w:val="26"/>
        </w:rPr>
        <w:t xml:space="preserve">are </w:t>
      </w:r>
      <w:r w:rsidRPr="004005B3">
        <w:rPr>
          <w:rFonts w:ascii="Times New Roman" w:hAnsi="Times New Roman"/>
          <w:sz w:val="26"/>
          <w:szCs w:val="26"/>
        </w:rPr>
        <w:t xml:space="preserve">devoid of certainty of recoupment. But before a debt can be categorised as bad debt or </w:t>
      </w:r>
      <w:r w:rsidR="0089298A" w:rsidRPr="004005B3">
        <w:rPr>
          <w:rFonts w:ascii="Times New Roman" w:hAnsi="Times New Roman"/>
          <w:sz w:val="26"/>
          <w:szCs w:val="26"/>
        </w:rPr>
        <w:t>otherwise</w:t>
      </w:r>
      <w:r w:rsidRPr="004005B3">
        <w:rPr>
          <w:rFonts w:ascii="Times New Roman" w:hAnsi="Times New Roman"/>
          <w:sz w:val="26"/>
          <w:szCs w:val="26"/>
        </w:rPr>
        <w:t>, the nature of such debt will be a determinant factor and the onus of prov</w:t>
      </w:r>
      <w:r w:rsidR="0089298A" w:rsidRPr="004005B3">
        <w:rPr>
          <w:rFonts w:ascii="Times New Roman" w:hAnsi="Times New Roman"/>
          <w:sz w:val="26"/>
          <w:szCs w:val="26"/>
        </w:rPr>
        <w:t>i</w:t>
      </w:r>
      <w:r w:rsidRPr="004005B3">
        <w:rPr>
          <w:rFonts w:ascii="Times New Roman" w:hAnsi="Times New Roman"/>
          <w:sz w:val="26"/>
          <w:szCs w:val="26"/>
        </w:rPr>
        <w:t>n</w:t>
      </w:r>
      <w:r w:rsidR="0089298A" w:rsidRPr="004005B3">
        <w:rPr>
          <w:rFonts w:ascii="Times New Roman" w:hAnsi="Times New Roman"/>
          <w:sz w:val="26"/>
          <w:szCs w:val="26"/>
        </w:rPr>
        <w:t>g</w:t>
      </w:r>
      <w:r w:rsidRPr="004005B3">
        <w:rPr>
          <w:rFonts w:ascii="Times New Roman" w:hAnsi="Times New Roman"/>
          <w:sz w:val="26"/>
          <w:szCs w:val="26"/>
        </w:rPr>
        <w:t xml:space="preserve"> that a debt is bad rests on the tax payer (</w:t>
      </w:r>
      <w:r w:rsidR="0089298A" w:rsidRPr="004005B3">
        <w:rPr>
          <w:rFonts w:ascii="Times New Roman" w:hAnsi="Times New Roman"/>
          <w:sz w:val="26"/>
          <w:szCs w:val="26"/>
        </w:rPr>
        <w:t xml:space="preserve">i.e., the </w:t>
      </w:r>
      <w:r w:rsidRPr="004005B3">
        <w:rPr>
          <w:rFonts w:ascii="Times New Roman" w:hAnsi="Times New Roman"/>
          <w:sz w:val="26"/>
          <w:szCs w:val="26"/>
        </w:rPr>
        <w:t xml:space="preserve">bank in this case).  However, in some instance, the declaration of bad (or otherwise) of a debt may rest on the appropriate tribunal. </w:t>
      </w:r>
    </w:p>
    <w:p w:rsidR="003453B1" w:rsidRPr="004005B3" w:rsidRDefault="003453B1" w:rsidP="00275218">
      <w:pPr>
        <w:spacing w:after="0" w:line="240" w:lineRule="auto"/>
        <w:ind w:firstLine="720"/>
        <w:jc w:val="both"/>
        <w:rPr>
          <w:rFonts w:ascii="Times New Roman" w:hAnsi="Times New Roman"/>
          <w:sz w:val="26"/>
          <w:szCs w:val="26"/>
        </w:rPr>
      </w:pPr>
      <w:r w:rsidRPr="004005B3">
        <w:rPr>
          <w:rFonts w:ascii="Times New Roman" w:hAnsi="Times New Roman"/>
          <w:sz w:val="26"/>
          <w:szCs w:val="26"/>
        </w:rPr>
        <w:t xml:space="preserve">In Nigeria, loan losses are allowed to be written off by the bank with the approval of the CBN when such loans have been </w:t>
      </w:r>
      <w:r w:rsidRPr="004005B3">
        <w:rPr>
          <w:rFonts w:ascii="Times New Roman" w:hAnsi="Times New Roman"/>
          <w:sz w:val="26"/>
          <w:szCs w:val="26"/>
        </w:rPr>
        <w:lastRenderedPageBreak/>
        <w:t>confirmed worthless and uncollectible and some have been charged off the books of account of the bank at the end of the taxable year. In the alternative, all non-performing loans with the authority of the CBN could be bought off by the Asset Management Corporation of Nigeria as it happened when AMCON in its rescue programme some years back bought about N3.14 trillion worth of non</w:t>
      </w:r>
      <w:r w:rsidR="007D294D" w:rsidRPr="004005B3">
        <w:rPr>
          <w:rFonts w:ascii="Times New Roman" w:hAnsi="Times New Roman"/>
          <w:sz w:val="26"/>
          <w:szCs w:val="26"/>
        </w:rPr>
        <w:t>-</w:t>
      </w:r>
      <w:r w:rsidRPr="004005B3">
        <w:rPr>
          <w:rFonts w:ascii="Times New Roman" w:hAnsi="Times New Roman"/>
          <w:sz w:val="26"/>
          <w:szCs w:val="26"/>
        </w:rPr>
        <w:t>performing loans of over 22 banks 2011.</w:t>
      </w:r>
      <w:r w:rsidRPr="004005B3">
        <w:rPr>
          <w:rStyle w:val="FootnoteReference"/>
          <w:rFonts w:ascii="Times New Roman" w:hAnsi="Times New Roman"/>
          <w:sz w:val="26"/>
          <w:szCs w:val="26"/>
        </w:rPr>
        <w:footnoteReference w:id="70"/>
      </w:r>
      <w:r w:rsidRPr="004005B3">
        <w:rPr>
          <w:rFonts w:ascii="Times New Roman" w:hAnsi="Times New Roman"/>
          <w:sz w:val="26"/>
          <w:szCs w:val="26"/>
        </w:rPr>
        <w:t xml:space="preserve"> However, despite this effort</w:t>
      </w:r>
      <w:r w:rsidR="0089298A" w:rsidRPr="004005B3">
        <w:rPr>
          <w:rFonts w:ascii="Times New Roman" w:hAnsi="Times New Roman"/>
          <w:sz w:val="26"/>
          <w:szCs w:val="26"/>
        </w:rPr>
        <w:t>,</w:t>
      </w:r>
      <w:r w:rsidRPr="004005B3">
        <w:rPr>
          <w:rFonts w:ascii="Times New Roman" w:hAnsi="Times New Roman"/>
          <w:sz w:val="26"/>
          <w:szCs w:val="26"/>
        </w:rPr>
        <w:t xml:space="preserve"> the absence of a distinct and clear rule to determine banks taxable profit is a serious clog that may adversely affect the apt calculation and determination of loss and bad debt reliefs in the banking industry.  To guard against this, the paper recommends the following</w:t>
      </w:r>
      <w:r w:rsidR="007D294D" w:rsidRPr="004005B3">
        <w:rPr>
          <w:rFonts w:ascii="Times New Roman" w:hAnsi="Times New Roman"/>
          <w:sz w:val="26"/>
          <w:szCs w:val="26"/>
        </w:rPr>
        <w:t>.</w:t>
      </w:r>
    </w:p>
    <w:p w:rsidR="007D294D" w:rsidRPr="004005B3" w:rsidRDefault="007D294D" w:rsidP="00275218">
      <w:pPr>
        <w:spacing w:after="0" w:line="240" w:lineRule="auto"/>
        <w:ind w:firstLine="720"/>
        <w:jc w:val="both"/>
        <w:rPr>
          <w:rFonts w:ascii="Times New Roman" w:hAnsi="Times New Roman"/>
          <w:sz w:val="26"/>
          <w:szCs w:val="26"/>
        </w:rPr>
      </w:pPr>
    </w:p>
    <w:p w:rsidR="003453B1" w:rsidRPr="004005B3" w:rsidRDefault="007D294D" w:rsidP="003453B1">
      <w:pPr>
        <w:numPr>
          <w:ilvl w:val="1"/>
          <w:numId w:val="4"/>
        </w:numPr>
        <w:spacing w:after="0" w:line="240" w:lineRule="auto"/>
        <w:jc w:val="both"/>
        <w:rPr>
          <w:rFonts w:ascii="Times New Roman" w:hAnsi="Times New Roman"/>
          <w:b/>
          <w:sz w:val="26"/>
          <w:szCs w:val="26"/>
        </w:rPr>
      </w:pPr>
      <w:r w:rsidRPr="004005B3">
        <w:rPr>
          <w:rFonts w:ascii="Times New Roman" w:hAnsi="Times New Roman"/>
          <w:b/>
          <w:sz w:val="26"/>
          <w:szCs w:val="26"/>
        </w:rPr>
        <w:t xml:space="preserve"> </w:t>
      </w:r>
      <w:r w:rsidR="003453B1" w:rsidRPr="004005B3">
        <w:rPr>
          <w:rFonts w:ascii="Times New Roman" w:hAnsi="Times New Roman"/>
          <w:b/>
          <w:sz w:val="26"/>
          <w:szCs w:val="26"/>
        </w:rPr>
        <w:t>Enactment of a Clearer Rule for the Determination of the Taxable Bank Profits</w:t>
      </w:r>
      <w:r w:rsidR="003453B1" w:rsidRPr="004005B3">
        <w:rPr>
          <w:rFonts w:ascii="Times New Roman" w:hAnsi="Times New Roman"/>
          <w:b/>
          <w:sz w:val="26"/>
          <w:szCs w:val="26"/>
          <w:lang w:eastAsia="en-GB"/>
        </w:rPr>
        <w:t xml:space="preserve"> </w:t>
      </w:r>
    </w:p>
    <w:p w:rsidR="003453B1" w:rsidRPr="004005B3" w:rsidRDefault="003453B1" w:rsidP="007D294D">
      <w:pPr>
        <w:spacing w:after="0" w:line="240" w:lineRule="auto"/>
        <w:jc w:val="both"/>
        <w:rPr>
          <w:rFonts w:ascii="Times New Roman" w:hAnsi="Times New Roman"/>
          <w:sz w:val="26"/>
          <w:szCs w:val="26"/>
        </w:rPr>
      </w:pPr>
      <w:r w:rsidRPr="004005B3">
        <w:rPr>
          <w:rFonts w:ascii="Times New Roman" w:hAnsi="Times New Roman"/>
          <w:sz w:val="26"/>
          <w:szCs w:val="26"/>
        </w:rPr>
        <w:t>Doing this will guarantee easy assessment of tax in the banking industry; it will also reduce the problems that the revenue officers face while determining some complex transactions in the banking industry. Invariably, this will ease the assessment procedure in the deductibility of loss and bad debt in the banking industry.</w:t>
      </w:r>
    </w:p>
    <w:p w:rsidR="007D294D" w:rsidRPr="004005B3" w:rsidRDefault="007D294D" w:rsidP="007D294D">
      <w:pPr>
        <w:spacing w:after="0" w:line="240" w:lineRule="auto"/>
        <w:jc w:val="both"/>
        <w:rPr>
          <w:rFonts w:ascii="Times New Roman" w:hAnsi="Times New Roman"/>
          <w:sz w:val="26"/>
          <w:szCs w:val="26"/>
        </w:rPr>
      </w:pPr>
    </w:p>
    <w:p w:rsidR="003453B1" w:rsidRPr="004005B3" w:rsidRDefault="003453B1" w:rsidP="003453B1">
      <w:pPr>
        <w:numPr>
          <w:ilvl w:val="1"/>
          <w:numId w:val="4"/>
        </w:numPr>
        <w:autoSpaceDE w:val="0"/>
        <w:autoSpaceDN w:val="0"/>
        <w:adjustRightInd w:val="0"/>
        <w:spacing w:after="0" w:line="240" w:lineRule="auto"/>
        <w:jc w:val="both"/>
        <w:rPr>
          <w:rFonts w:ascii="Times New Roman" w:hAnsi="Times New Roman"/>
          <w:iCs/>
          <w:sz w:val="26"/>
          <w:szCs w:val="26"/>
          <w:lang w:eastAsia="en-GB"/>
        </w:rPr>
      </w:pPr>
      <w:r w:rsidRPr="004005B3">
        <w:rPr>
          <w:rFonts w:ascii="Times New Roman" w:hAnsi="Times New Roman"/>
          <w:b/>
          <w:iCs/>
          <w:sz w:val="26"/>
          <w:szCs w:val="26"/>
          <w:lang w:eastAsia="en-GB"/>
        </w:rPr>
        <w:t xml:space="preserve">Amendment of Section 29(1)and Section 31(2) Companies Income Tax Act </w:t>
      </w:r>
    </w:p>
    <w:p w:rsidR="003453B1" w:rsidRPr="004005B3" w:rsidRDefault="007D2BAE" w:rsidP="007D294D">
      <w:pPr>
        <w:autoSpaceDE w:val="0"/>
        <w:autoSpaceDN w:val="0"/>
        <w:adjustRightInd w:val="0"/>
        <w:spacing w:after="0" w:line="240" w:lineRule="auto"/>
        <w:jc w:val="both"/>
        <w:rPr>
          <w:rFonts w:ascii="Times New Roman" w:hAnsi="Times New Roman"/>
          <w:iCs/>
          <w:sz w:val="26"/>
          <w:szCs w:val="26"/>
          <w:lang w:eastAsia="en-GB"/>
        </w:rPr>
      </w:pPr>
      <w:r w:rsidRPr="004005B3">
        <w:rPr>
          <w:rFonts w:ascii="Times New Roman" w:hAnsi="Times New Roman"/>
          <w:iCs/>
          <w:sz w:val="26"/>
          <w:szCs w:val="26"/>
          <w:lang w:eastAsia="en-GB"/>
        </w:rPr>
        <w:t xml:space="preserve">The </w:t>
      </w:r>
      <w:r w:rsidR="003453B1" w:rsidRPr="004005B3">
        <w:rPr>
          <w:rFonts w:ascii="Times New Roman" w:hAnsi="Times New Roman"/>
          <w:iCs/>
          <w:sz w:val="26"/>
          <w:szCs w:val="26"/>
          <w:lang w:eastAsia="en-GB"/>
        </w:rPr>
        <w:t>combined interpretation of provisions of sections 29(1)</w:t>
      </w:r>
      <w:r w:rsidRPr="004005B3">
        <w:rPr>
          <w:rFonts w:ascii="Times New Roman" w:hAnsi="Times New Roman"/>
          <w:iCs/>
          <w:sz w:val="26"/>
          <w:szCs w:val="26"/>
          <w:lang w:eastAsia="en-GB"/>
        </w:rPr>
        <w:t xml:space="preserve"> </w:t>
      </w:r>
      <w:r w:rsidR="003453B1" w:rsidRPr="004005B3">
        <w:rPr>
          <w:rFonts w:ascii="Times New Roman" w:hAnsi="Times New Roman"/>
          <w:iCs/>
          <w:sz w:val="26"/>
          <w:szCs w:val="26"/>
          <w:lang w:eastAsia="en-GB"/>
        </w:rPr>
        <w:t>and 31(2) Companies Income Tax Act CITA, is fraught with ambiguity</w:t>
      </w:r>
      <w:r w:rsidRPr="004005B3">
        <w:rPr>
          <w:rFonts w:ascii="Times New Roman" w:hAnsi="Times New Roman"/>
          <w:iCs/>
          <w:sz w:val="26"/>
          <w:szCs w:val="26"/>
          <w:lang w:eastAsia="en-GB"/>
        </w:rPr>
        <w:t xml:space="preserve">. This is </w:t>
      </w:r>
      <w:r w:rsidR="003453B1" w:rsidRPr="004005B3">
        <w:rPr>
          <w:rFonts w:ascii="Times New Roman" w:hAnsi="Times New Roman"/>
          <w:iCs/>
          <w:sz w:val="26"/>
          <w:szCs w:val="26"/>
          <w:lang w:eastAsia="en-GB"/>
        </w:rPr>
        <w:t xml:space="preserve">because </w:t>
      </w:r>
      <w:r w:rsidR="003453B1" w:rsidRPr="004005B3">
        <w:rPr>
          <w:rFonts w:ascii="Times New Roman" w:hAnsi="Times New Roman"/>
          <w:sz w:val="26"/>
          <w:szCs w:val="26"/>
          <w:lang w:eastAsia="en-GB"/>
        </w:rPr>
        <w:t>while</w:t>
      </w:r>
      <w:r w:rsidR="003453B1" w:rsidRPr="004005B3">
        <w:rPr>
          <w:rFonts w:ascii="Times New Roman" w:hAnsi="Times New Roman"/>
          <w:iCs/>
          <w:sz w:val="26"/>
          <w:szCs w:val="26"/>
          <w:lang w:eastAsia="en-GB"/>
        </w:rPr>
        <w:t xml:space="preserve"> s</w:t>
      </w:r>
      <w:r w:rsidR="003453B1" w:rsidRPr="004005B3">
        <w:rPr>
          <w:rFonts w:ascii="Times New Roman" w:hAnsi="Times New Roman"/>
          <w:sz w:val="26"/>
          <w:szCs w:val="26"/>
          <w:lang w:eastAsia="en-GB"/>
        </w:rPr>
        <w:t xml:space="preserve">ection 29(1) provides that the profits of any company for each year of assessment from such sources of profits shall be the profits of the year immediately preceding the year of assessment from each source; section 31(2) restricts the losses that may be relieved in any year to the </w:t>
      </w:r>
      <w:r w:rsidR="003453B1" w:rsidRPr="004005B3">
        <w:rPr>
          <w:rFonts w:ascii="Times New Roman" w:hAnsi="Times New Roman"/>
          <w:sz w:val="26"/>
          <w:szCs w:val="26"/>
          <w:lang w:eastAsia="en-GB"/>
        </w:rPr>
        <w:lastRenderedPageBreak/>
        <w:t xml:space="preserve">assessable profits from the trade or business in which the loss was incurred. This is practically impossible </w:t>
      </w:r>
      <w:r w:rsidR="003453B1" w:rsidRPr="004005B3">
        <w:rPr>
          <w:rFonts w:ascii="Times New Roman" w:hAnsi="Times New Roman"/>
          <w:iCs/>
          <w:sz w:val="26"/>
          <w:szCs w:val="26"/>
          <w:lang w:eastAsia="en-GB"/>
        </w:rPr>
        <w:t>and same may punish genuine</w:t>
      </w:r>
      <w:r w:rsidR="003453B1" w:rsidRPr="004005B3">
        <w:rPr>
          <w:rFonts w:ascii="Times New Roman" w:hAnsi="Times New Roman"/>
          <w:sz w:val="26"/>
          <w:szCs w:val="26"/>
          <w:lang w:eastAsia="en-GB"/>
        </w:rPr>
        <w:t xml:space="preserve"> </w:t>
      </w:r>
      <w:r w:rsidR="003453B1" w:rsidRPr="004005B3">
        <w:rPr>
          <w:rFonts w:ascii="Times New Roman" w:hAnsi="Times New Roman"/>
          <w:iCs/>
          <w:sz w:val="26"/>
          <w:szCs w:val="26"/>
          <w:lang w:eastAsia="en-GB"/>
        </w:rPr>
        <w:t>businesses for incurring real losses. To guide against this, the paper recommends the amendment of the sections to accommodate group consolidated tax returns system which will facilitate accurate determination of the year loss as it was incurred and relief thereto.</w:t>
      </w:r>
    </w:p>
    <w:p w:rsidR="003453B1" w:rsidRPr="004005B3" w:rsidRDefault="003453B1" w:rsidP="003453B1">
      <w:pPr>
        <w:autoSpaceDE w:val="0"/>
        <w:autoSpaceDN w:val="0"/>
        <w:adjustRightInd w:val="0"/>
        <w:spacing w:after="0" w:line="240" w:lineRule="auto"/>
        <w:ind w:left="720"/>
        <w:jc w:val="both"/>
        <w:rPr>
          <w:rFonts w:ascii="Times New Roman" w:hAnsi="Times New Roman"/>
          <w:iCs/>
          <w:sz w:val="26"/>
          <w:szCs w:val="26"/>
          <w:lang w:eastAsia="en-GB"/>
        </w:rPr>
      </w:pPr>
    </w:p>
    <w:p w:rsidR="003453B1" w:rsidRPr="004005B3" w:rsidRDefault="003453B1" w:rsidP="003453B1">
      <w:pPr>
        <w:numPr>
          <w:ilvl w:val="1"/>
          <w:numId w:val="4"/>
        </w:numPr>
        <w:autoSpaceDE w:val="0"/>
        <w:autoSpaceDN w:val="0"/>
        <w:adjustRightInd w:val="0"/>
        <w:spacing w:after="0" w:line="240" w:lineRule="auto"/>
        <w:jc w:val="both"/>
        <w:rPr>
          <w:rFonts w:ascii="Times New Roman" w:hAnsi="Times New Roman"/>
          <w:b/>
          <w:iCs/>
          <w:sz w:val="26"/>
          <w:szCs w:val="26"/>
          <w:lang w:eastAsia="en-GB"/>
        </w:rPr>
      </w:pPr>
      <w:r w:rsidRPr="004005B3">
        <w:rPr>
          <w:rFonts w:ascii="Times New Roman" w:hAnsi="Times New Roman"/>
          <w:b/>
          <w:iCs/>
          <w:sz w:val="26"/>
          <w:szCs w:val="26"/>
          <w:lang w:eastAsia="en-GB"/>
        </w:rPr>
        <w:t>Adequate Use and Constant Reference to Tax Information Circular</w:t>
      </w:r>
    </w:p>
    <w:p w:rsidR="003453B1" w:rsidRPr="004005B3" w:rsidRDefault="003453B1" w:rsidP="007D294D">
      <w:pPr>
        <w:autoSpaceDE w:val="0"/>
        <w:autoSpaceDN w:val="0"/>
        <w:adjustRightInd w:val="0"/>
        <w:spacing w:after="0" w:line="240" w:lineRule="auto"/>
        <w:jc w:val="both"/>
        <w:rPr>
          <w:rFonts w:ascii="Times New Roman" w:hAnsi="Times New Roman"/>
          <w:sz w:val="26"/>
          <w:szCs w:val="26"/>
        </w:rPr>
      </w:pPr>
      <w:r w:rsidRPr="004005B3">
        <w:rPr>
          <w:rFonts w:ascii="Times New Roman" w:hAnsi="Times New Roman"/>
          <w:sz w:val="26"/>
          <w:szCs w:val="26"/>
        </w:rPr>
        <w:t xml:space="preserve">Tax Information Circulars, though, not a statutory tax book, can serve as veritable paraphernalia for an administrative directive on adequate tax reporting and compliance in the banking sector. Since Information Circulars mostly contain explanation on tax statutes and directions, it may aid </w:t>
      </w:r>
      <w:r w:rsidR="007D2BAE" w:rsidRPr="004005B3">
        <w:rPr>
          <w:rFonts w:ascii="Times New Roman" w:hAnsi="Times New Roman"/>
          <w:sz w:val="26"/>
          <w:szCs w:val="26"/>
        </w:rPr>
        <w:t xml:space="preserve">in </w:t>
      </w:r>
      <w:r w:rsidRPr="004005B3">
        <w:rPr>
          <w:rFonts w:ascii="Times New Roman" w:hAnsi="Times New Roman"/>
          <w:sz w:val="26"/>
          <w:szCs w:val="26"/>
        </w:rPr>
        <w:t>the easier determination of loss and bad debt relief.</w:t>
      </w:r>
    </w:p>
    <w:p w:rsidR="007D294D" w:rsidRPr="004005B3" w:rsidRDefault="007D294D" w:rsidP="007D294D">
      <w:pPr>
        <w:autoSpaceDE w:val="0"/>
        <w:autoSpaceDN w:val="0"/>
        <w:adjustRightInd w:val="0"/>
        <w:spacing w:after="0" w:line="240" w:lineRule="auto"/>
        <w:jc w:val="both"/>
        <w:rPr>
          <w:rFonts w:ascii="Times New Roman" w:hAnsi="Times New Roman"/>
          <w:sz w:val="26"/>
          <w:szCs w:val="26"/>
        </w:rPr>
      </w:pPr>
    </w:p>
    <w:p w:rsidR="003453B1" w:rsidRPr="004005B3" w:rsidRDefault="003453B1" w:rsidP="007D294D">
      <w:pPr>
        <w:numPr>
          <w:ilvl w:val="1"/>
          <w:numId w:val="4"/>
        </w:numPr>
        <w:autoSpaceDE w:val="0"/>
        <w:autoSpaceDN w:val="0"/>
        <w:adjustRightInd w:val="0"/>
        <w:spacing w:after="0" w:line="240" w:lineRule="auto"/>
        <w:ind w:left="450" w:hanging="450"/>
        <w:jc w:val="both"/>
        <w:rPr>
          <w:rFonts w:ascii="Times New Roman" w:hAnsi="Times New Roman"/>
          <w:b/>
          <w:sz w:val="26"/>
          <w:szCs w:val="26"/>
        </w:rPr>
      </w:pPr>
      <w:r w:rsidRPr="004005B3">
        <w:rPr>
          <w:rFonts w:ascii="Times New Roman" w:hAnsi="Times New Roman"/>
          <w:b/>
          <w:sz w:val="26"/>
          <w:szCs w:val="26"/>
        </w:rPr>
        <w:t>A call for distinct legislation on the deductibility of loan losses in the Nigerian Banking Sector</w:t>
      </w:r>
    </w:p>
    <w:p w:rsidR="003453B1" w:rsidRPr="004005B3" w:rsidRDefault="003453B1" w:rsidP="007D294D">
      <w:pPr>
        <w:autoSpaceDE w:val="0"/>
        <w:autoSpaceDN w:val="0"/>
        <w:adjustRightInd w:val="0"/>
        <w:spacing w:after="0" w:line="240" w:lineRule="auto"/>
        <w:jc w:val="both"/>
        <w:rPr>
          <w:rFonts w:ascii="Times New Roman" w:hAnsi="Times New Roman"/>
          <w:sz w:val="26"/>
          <w:szCs w:val="26"/>
        </w:rPr>
      </w:pPr>
      <w:r w:rsidRPr="004005B3">
        <w:rPr>
          <w:rFonts w:ascii="Times New Roman" w:hAnsi="Times New Roman"/>
          <w:sz w:val="26"/>
          <w:szCs w:val="26"/>
        </w:rPr>
        <w:t>Despite the directive of the CBN that when IFRS is adopted in Nigeria, the Banks would be required to make provisions for loans as prescribed in the relevant IFRS Standards</w:t>
      </w:r>
      <w:r w:rsidRPr="004005B3">
        <w:rPr>
          <w:rStyle w:val="FootnoteReference"/>
          <w:rFonts w:ascii="Times New Roman" w:hAnsi="Times New Roman"/>
          <w:sz w:val="26"/>
          <w:szCs w:val="26"/>
        </w:rPr>
        <w:footnoteReference w:id="71"/>
      </w:r>
      <w:r w:rsidRPr="004005B3">
        <w:rPr>
          <w:rFonts w:ascii="Times New Roman" w:hAnsi="Times New Roman"/>
          <w:sz w:val="26"/>
          <w:szCs w:val="26"/>
        </w:rPr>
        <w:t>; today in Nigeria, the applicable rules as to the deductibility for tax purpose of bad debt are still the same as those applying to any other business</w:t>
      </w:r>
      <w:r w:rsidR="008A4304" w:rsidRPr="004005B3">
        <w:rPr>
          <w:rFonts w:ascii="Times New Roman" w:hAnsi="Times New Roman"/>
          <w:sz w:val="26"/>
          <w:szCs w:val="26"/>
        </w:rPr>
        <w:t>. This</w:t>
      </w:r>
      <w:r w:rsidRPr="004005B3">
        <w:rPr>
          <w:rFonts w:ascii="Times New Roman" w:hAnsi="Times New Roman"/>
          <w:sz w:val="26"/>
          <w:szCs w:val="26"/>
        </w:rPr>
        <w:t>, the paper humbly argue</w:t>
      </w:r>
      <w:r w:rsidR="008A4304" w:rsidRPr="004005B3">
        <w:rPr>
          <w:rFonts w:ascii="Times New Roman" w:hAnsi="Times New Roman"/>
          <w:sz w:val="26"/>
          <w:szCs w:val="26"/>
        </w:rPr>
        <w:t>s</w:t>
      </w:r>
      <w:r w:rsidRPr="004005B3">
        <w:rPr>
          <w:rFonts w:ascii="Times New Roman" w:hAnsi="Times New Roman"/>
          <w:sz w:val="26"/>
          <w:szCs w:val="26"/>
        </w:rPr>
        <w:t xml:space="preserve"> is not equitable. The rule fails to take into cognizance the distinct and un-predictable nature of banking business; therefore, enacting a distinct legislation on loan losses and debt in the banking industry is the bes</w:t>
      </w:r>
      <w:r w:rsidR="00442E70" w:rsidRPr="004005B3">
        <w:rPr>
          <w:rFonts w:ascii="Times New Roman" w:hAnsi="Times New Roman"/>
          <w:sz w:val="26"/>
          <w:szCs w:val="26"/>
        </w:rPr>
        <w:t>t way to solve this problem.</w:t>
      </w:r>
    </w:p>
    <w:sectPr w:rsidR="003453B1" w:rsidRPr="004005B3" w:rsidSect="00CB4DF7">
      <w:headerReference w:type="even" r:id="rId7"/>
      <w:headerReference w:type="default" r:id="rId8"/>
      <w:pgSz w:w="11907" w:h="16839" w:code="9"/>
      <w:pgMar w:top="2250" w:right="2547" w:bottom="4320" w:left="2520" w:header="720" w:footer="720" w:gutter="0"/>
      <w:pgNumType w:start="99"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CB9" w:rsidRDefault="00C55CB9" w:rsidP="003453B1">
      <w:pPr>
        <w:spacing w:after="0" w:line="240" w:lineRule="auto"/>
      </w:pPr>
      <w:r>
        <w:separator/>
      </w:r>
    </w:p>
  </w:endnote>
  <w:endnote w:type="continuationSeparator" w:id="0">
    <w:p w:rsidR="00C55CB9" w:rsidRDefault="00C55CB9" w:rsidP="00345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CB9" w:rsidRDefault="00C55CB9" w:rsidP="003453B1">
      <w:pPr>
        <w:spacing w:after="0" w:line="240" w:lineRule="auto"/>
      </w:pPr>
      <w:r>
        <w:separator/>
      </w:r>
    </w:p>
  </w:footnote>
  <w:footnote w:type="continuationSeparator" w:id="0">
    <w:p w:rsidR="00C55CB9" w:rsidRDefault="00C55CB9" w:rsidP="003453B1">
      <w:pPr>
        <w:spacing w:after="0" w:line="240" w:lineRule="auto"/>
      </w:pPr>
      <w:r>
        <w:continuationSeparator/>
      </w:r>
    </w:p>
  </w:footnote>
  <w:footnote w:id="1">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sym w:font="Symbol" w:char="F0B7"/>
      </w:r>
      <w:r w:rsidRPr="004005B3">
        <w:rPr>
          <w:rFonts w:ascii="Times New Roman" w:hAnsi="Times New Roman"/>
          <w:sz w:val="22"/>
          <w:szCs w:val="22"/>
        </w:rPr>
        <w:t xml:space="preserve"> </w:t>
      </w:r>
      <w:r w:rsidRPr="004005B3">
        <w:rPr>
          <w:rFonts w:ascii="Times New Roman" w:hAnsi="Times New Roman"/>
          <w:sz w:val="22"/>
          <w:szCs w:val="22"/>
        </w:rPr>
        <w:tab/>
        <w:t>LL.M (Ife), B.A (Hons.),</w:t>
      </w:r>
      <w:r w:rsidR="00671DD8" w:rsidRPr="004005B3">
        <w:rPr>
          <w:rFonts w:ascii="Times New Roman" w:hAnsi="Times New Roman"/>
          <w:sz w:val="22"/>
          <w:szCs w:val="22"/>
        </w:rPr>
        <w:t xml:space="preserve"> </w:t>
      </w:r>
      <w:r w:rsidRPr="004005B3">
        <w:rPr>
          <w:rFonts w:ascii="Times New Roman" w:hAnsi="Times New Roman"/>
          <w:sz w:val="22"/>
          <w:szCs w:val="22"/>
        </w:rPr>
        <w:t>P.G.D.E, LL.B, Ph.D.</w:t>
      </w:r>
      <w:r w:rsidR="00671DD8" w:rsidRPr="004005B3">
        <w:rPr>
          <w:rFonts w:ascii="Times New Roman" w:hAnsi="Times New Roman"/>
          <w:sz w:val="22"/>
          <w:szCs w:val="22"/>
        </w:rPr>
        <w:t>,</w:t>
      </w:r>
      <w:r w:rsidRPr="004005B3">
        <w:rPr>
          <w:rFonts w:ascii="Times New Roman" w:hAnsi="Times New Roman"/>
          <w:sz w:val="22"/>
          <w:szCs w:val="22"/>
        </w:rPr>
        <w:t xml:space="preserve"> Unilorin, Lecturer and Formerly Coordinator, Department of Business Law, Faculty of Law, University of Ilorin. E-Mail: </w:t>
      </w:r>
      <w:hyperlink r:id="rId1" w:history="1">
        <w:r w:rsidRPr="004005B3">
          <w:rPr>
            <w:rStyle w:val="Hyperlink"/>
            <w:rFonts w:ascii="Times New Roman" w:hAnsi="Times New Roman"/>
            <w:color w:val="auto"/>
            <w:sz w:val="22"/>
            <w:szCs w:val="22"/>
            <w:u w:val="none"/>
          </w:rPr>
          <w:t>sakaskydlaw2002@gmail.com</w:t>
        </w:r>
      </w:hyperlink>
    </w:p>
  </w:footnote>
  <w:footnote w:id="2">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Pr="004005B3">
        <w:rPr>
          <w:rFonts w:ascii="Times New Roman" w:hAnsi="Times New Roman"/>
          <w:sz w:val="22"/>
          <w:szCs w:val="22"/>
        </w:rPr>
        <w:tab/>
        <w:t xml:space="preserve">Like United States of America, Australia, Korea. </w:t>
      </w:r>
    </w:p>
  </w:footnote>
  <w:footnote w:id="3">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Pr="004005B3">
        <w:rPr>
          <w:rFonts w:ascii="Times New Roman" w:hAnsi="Times New Roman"/>
          <w:sz w:val="22"/>
          <w:szCs w:val="22"/>
        </w:rPr>
        <w:tab/>
        <w:t xml:space="preserve">For comparative analysis of tax treatment of loan losses in developed countries, see Escolano Julio, ‘Tax Treatment of Loan Losses of Banks’ in E.A. William, </w:t>
      </w:r>
      <w:r w:rsidRPr="004005B3">
        <w:rPr>
          <w:rFonts w:ascii="Times New Roman" w:hAnsi="Times New Roman"/>
          <w:i/>
          <w:sz w:val="22"/>
          <w:szCs w:val="22"/>
        </w:rPr>
        <w:t>et al</w:t>
      </w:r>
      <w:r w:rsidRPr="004005B3">
        <w:rPr>
          <w:rFonts w:ascii="Times New Roman" w:hAnsi="Times New Roman"/>
          <w:sz w:val="22"/>
          <w:szCs w:val="22"/>
        </w:rPr>
        <w:t xml:space="preserve">. (Eds.) </w:t>
      </w:r>
      <w:r w:rsidRPr="004005B3">
        <w:rPr>
          <w:rFonts w:ascii="Times New Roman" w:hAnsi="Times New Roman"/>
          <w:i/>
          <w:sz w:val="22"/>
          <w:szCs w:val="22"/>
        </w:rPr>
        <w:t>Systemic Bank Restructuring and Macroeconomic Policy</w:t>
      </w:r>
      <w:r w:rsidRPr="004005B3">
        <w:rPr>
          <w:rFonts w:ascii="Times New Roman" w:hAnsi="Times New Roman"/>
          <w:sz w:val="22"/>
          <w:szCs w:val="22"/>
        </w:rPr>
        <w:t xml:space="preserve">, (International Monetary Fund,1997), pp.144-176. See also V. Beattie, </w:t>
      </w:r>
      <w:r w:rsidRPr="004005B3">
        <w:rPr>
          <w:rFonts w:ascii="Times New Roman" w:hAnsi="Times New Roman"/>
          <w:i/>
          <w:sz w:val="22"/>
          <w:szCs w:val="22"/>
        </w:rPr>
        <w:t>et al</w:t>
      </w:r>
      <w:r w:rsidRPr="004005B3">
        <w:rPr>
          <w:rFonts w:ascii="Times New Roman" w:hAnsi="Times New Roman"/>
          <w:sz w:val="22"/>
          <w:szCs w:val="22"/>
        </w:rPr>
        <w:t xml:space="preserve">. </w:t>
      </w:r>
      <w:r w:rsidRPr="004005B3">
        <w:rPr>
          <w:rFonts w:ascii="Times New Roman" w:hAnsi="Times New Roman"/>
          <w:i/>
          <w:sz w:val="22"/>
          <w:szCs w:val="22"/>
        </w:rPr>
        <w:t>Banks and Bad Debts: Accounting for Loan Losses in International Banking</w:t>
      </w:r>
      <w:r w:rsidRPr="004005B3">
        <w:rPr>
          <w:rFonts w:ascii="Times New Roman" w:hAnsi="Times New Roman"/>
          <w:sz w:val="22"/>
          <w:szCs w:val="22"/>
        </w:rPr>
        <w:t>, (John Wiley &amp; Sons, 1995), pp. 148-151 &amp; 156-159</w:t>
      </w:r>
      <w:r w:rsidR="006E377C" w:rsidRPr="004005B3">
        <w:rPr>
          <w:rFonts w:ascii="Times New Roman" w:hAnsi="Times New Roman"/>
          <w:sz w:val="22"/>
          <w:szCs w:val="22"/>
        </w:rPr>
        <w:t>.</w:t>
      </w:r>
    </w:p>
  </w:footnote>
  <w:footnote w:id="4">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6E377C" w:rsidRPr="004005B3">
        <w:rPr>
          <w:rFonts w:ascii="Times New Roman" w:hAnsi="Times New Roman"/>
          <w:sz w:val="22"/>
          <w:szCs w:val="22"/>
        </w:rPr>
        <w:tab/>
      </w:r>
      <w:r w:rsidRPr="004005B3">
        <w:rPr>
          <w:rFonts w:ascii="Times New Roman" w:hAnsi="Times New Roman"/>
          <w:sz w:val="22"/>
          <w:szCs w:val="22"/>
        </w:rPr>
        <w:t xml:space="preserve">Though there are judicial pronouncements on what constitutes profit in </w:t>
      </w:r>
      <w:r w:rsidRPr="004005B3">
        <w:rPr>
          <w:rFonts w:ascii="Times New Roman" w:hAnsi="Times New Roman"/>
          <w:i/>
          <w:sz w:val="22"/>
          <w:szCs w:val="22"/>
        </w:rPr>
        <w:t xml:space="preserve">Mersey Docks and Harbour Board v Lucas </w:t>
      </w:r>
      <w:r w:rsidRPr="004005B3">
        <w:rPr>
          <w:rFonts w:ascii="Times New Roman" w:hAnsi="Times New Roman"/>
          <w:sz w:val="22"/>
          <w:szCs w:val="22"/>
        </w:rPr>
        <w:t xml:space="preserve">(1883) </w:t>
      </w:r>
      <w:r w:rsidR="00BA38A5" w:rsidRPr="004005B3">
        <w:rPr>
          <w:rFonts w:ascii="Times New Roman" w:hAnsi="Times New Roman"/>
          <w:sz w:val="22"/>
          <w:szCs w:val="22"/>
        </w:rPr>
        <w:t>AC</w:t>
      </w:r>
      <w:r w:rsidRPr="004005B3">
        <w:rPr>
          <w:rFonts w:ascii="Times New Roman" w:hAnsi="Times New Roman"/>
          <w:sz w:val="22"/>
          <w:szCs w:val="22"/>
        </w:rPr>
        <w:t xml:space="preserve"> 891, 2 TC 25 wherein the House of Lords held per Lord Selbourne LC that the word ‘profit’ as here used means the incoming(of fund) before their application or use. See also, Lord Herchell’s definition of profit in </w:t>
      </w:r>
      <w:r w:rsidRPr="004005B3">
        <w:rPr>
          <w:rFonts w:ascii="Times New Roman" w:hAnsi="Times New Roman"/>
          <w:i/>
          <w:sz w:val="22"/>
          <w:szCs w:val="22"/>
        </w:rPr>
        <w:t>Russel v Town &amp; Country Bank</w:t>
      </w:r>
      <w:r w:rsidRPr="004005B3">
        <w:rPr>
          <w:rFonts w:ascii="Times New Roman" w:hAnsi="Times New Roman"/>
          <w:sz w:val="22"/>
          <w:szCs w:val="22"/>
        </w:rPr>
        <w:t xml:space="preserve"> (1888) 13 AC 418.</w:t>
      </w:r>
    </w:p>
  </w:footnote>
  <w:footnote w:id="5">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6E377C" w:rsidRPr="004005B3">
        <w:rPr>
          <w:rFonts w:ascii="Times New Roman" w:hAnsi="Times New Roman"/>
          <w:sz w:val="22"/>
          <w:szCs w:val="22"/>
        </w:rPr>
        <w:tab/>
      </w:r>
      <w:r w:rsidRPr="004005B3">
        <w:rPr>
          <w:rFonts w:ascii="Times New Roman" w:hAnsi="Times New Roman"/>
          <w:sz w:val="22"/>
          <w:szCs w:val="22"/>
        </w:rPr>
        <w:t xml:space="preserve">See, Companies Income Tax Act, </w:t>
      </w:r>
      <w:r w:rsidRPr="004005B3">
        <w:rPr>
          <w:rFonts w:ascii="Times New Roman" w:hAnsi="Times New Roman"/>
          <w:i/>
          <w:sz w:val="22"/>
          <w:szCs w:val="22"/>
        </w:rPr>
        <w:t xml:space="preserve">Cap C 21,Laws of the Federation on Nigerian (LFN) 2004, </w:t>
      </w:r>
      <w:r w:rsidRPr="004005B3">
        <w:rPr>
          <w:rFonts w:ascii="Times New Roman" w:hAnsi="Times New Roman"/>
          <w:sz w:val="22"/>
          <w:szCs w:val="22"/>
        </w:rPr>
        <w:t>s.9(1)</w:t>
      </w:r>
    </w:p>
  </w:footnote>
  <w:footnote w:id="6">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6E377C" w:rsidRPr="004005B3">
        <w:rPr>
          <w:rFonts w:ascii="Times New Roman" w:hAnsi="Times New Roman"/>
          <w:sz w:val="22"/>
          <w:szCs w:val="22"/>
        </w:rPr>
        <w:tab/>
      </w:r>
      <w:r w:rsidRPr="004005B3">
        <w:rPr>
          <w:rFonts w:ascii="Times New Roman" w:hAnsi="Times New Roman"/>
          <w:sz w:val="22"/>
          <w:szCs w:val="22"/>
        </w:rPr>
        <w:t>This is the practice in countries like Japan and Thailand</w:t>
      </w:r>
    </w:p>
  </w:footnote>
  <w:footnote w:id="7">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6E377C" w:rsidRPr="004005B3">
        <w:rPr>
          <w:rFonts w:ascii="Times New Roman" w:hAnsi="Times New Roman"/>
          <w:sz w:val="22"/>
          <w:szCs w:val="22"/>
        </w:rPr>
        <w:tab/>
      </w:r>
      <w:r w:rsidRPr="004005B3">
        <w:rPr>
          <w:rFonts w:ascii="Times New Roman" w:hAnsi="Times New Roman"/>
          <w:i/>
          <w:sz w:val="22"/>
          <w:szCs w:val="22"/>
        </w:rPr>
        <w:t>The Nation</w:t>
      </w:r>
      <w:r w:rsidRPr="004005B3">
        <w:rPr>
          <w:rFonts w:ascii="Times New Roman" w:hAnsi="Times New Roman"/>
          <w:sz w:val="22"/>
          <w:szCs w:val="22"/>
        </w:rPr>
        <w:t xml:space="preserve"> Newspaper (Nigeria) Wednesday, April 6, 2011, p.2.</w:t>
      </w:r>
    </w:p>
  </w:footnote>
  <w:footnote w:id="8">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6E377C" w:rsidRPr="004005B3">
        <w:rPr>
          <w:rFonts w:ascii="Times New Roman" w:hAnsi="Times New Roman"/>
          <w:sz w:val="22"/>
          <w:szCs w:val="22"/>
        </w:rPr>
        <w:tab/>
      </w:r>
      <w:r w:rsidRPr="004005B3">
        <w:rPr>
          <w:rFonts w:ascii="Times New Roman" w:hAnsi="Times New Roman"/>
          <w:i/>
          <w:sz w:val="22"/>
          <w:szCs w:val="22"/>
        </w:rPr>
        <w:t>ibid</w:t>
      </w:r>
      <w:r w:rsidRPr="004005B3">
        <w:rPr>
          <w:rFonts w:ascii="Times New Roman" w:hAnsi="Times New Roman"/>
          <w:sz w:val="22"/>
          <w:szCs w:val="22"/>
        </w:rPr>
        <w:t>.</w:t>
      </w:r>
    </w:p>
  </w:footnote>
  <w:footnote w:id="9">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6E377C" w:rsidRPr="004005B3">
        <w:rPr>
          <w:rFonts w:ascii="Times New Roman" w:hAnsi="Times New Roman"/>
          <w:sz w:val="22"/>
          <w:szCs w:val="22"/>
        </w:rPr>
        <w:tab/>
      </w:r>
      <w:r w:rsidRPr="004005B3">
        <w:rPr>
          <w:rFonts w:ascii="Times New Roman" w:hAnsi="Times New Roman"/>
          <w:sz w:val="22"/>
          <w:szCs w:val="22"/>
        </w:rPr>
        <w:t xml:space="preserve">Ademola A., </w:t>
      </w:r>
      <w:r w:rsidR="006E377C" w:rsidRPr="004005B3">
        <w:rPr>
          <w:rFonts w:ascii="Times New Roman" w:hAnsi="Times New Roman"/>
          <w:sz w:val="22"/>
          <w:szCs w:val="22"/>
        </w:rPr>
        <w:t>“</w:t>
      </w:r>
      <w:r w:rsidRPr="004005B3">
        <w:rPr>
          <w:rFonts w:ascii="Times New Roman" w:hAnsi="Times New Roman"/>
          <w:sz w:val="22"/>
          <w:szCs w:val="22"/>
        </w:rPr>
        <w:t>AMCON has bought all non-performing loans-CBN,</w:t>
      </w:r>
      <w:r w:rsidR="006E377C" w:rsidRPr="004005B3">
        <w:rPr>
          <w:rFonts w:ascii="Times New Roman" w:hAnsi="Times New Roman"/>
          <w:sz w:val="22"/>
          <w:szCs w:val="22"/>
        </w:rPr>
        <w:t>”</w:t>
      </w:r>
      <w:r w:rsidRPr="004005B3">
        <w:rPr>
          <w:rFonts w:ascii="Times New Roman" w:hAnsi="Times New Roman"/>
          <w:sz w:val="22"/>
          <w:szCs w:val="22"/>
        </w:rPr>
        <w:t xml:space="preserve"> The Punch Newspaper, Wednesday, 6</w:t>
      </w:r>
      <w:r w:rsidRPr="004005B3">
        <w:rPr>
          <w:rFonts w:ascii="Times New Roman" w:hAnsi="Times New Roman"/>
          <w:sz w:val="22"/>
          <w:szCs w:val="22"/>
          <w:vertAlign w:val="superscript"/>
        </w:rPr>
        <w:t>th</w:t>
      </w:r>
      <w:r w:rsidRPr="004005B3">
        <w:rPr>
          <w:rFonts w:ascii="Times New Roman" w:hAnsi="Times New Roman"/>
          <w:sz w:val="22"/>
          <w:szCs w:val="22"/>
        </w:rPr>
        <w:t xml:space="preserve"> April,</w:t>
      </w:r>
      <w:r w:rsidR="006E377C" w:rsidRPr="004005B3">
        <w:rPr>
          <w:rFonts w:ascii="Times New Roman" w:hAnsi="Times New Roman"/>
          <w:sz w:val="22"/>
          <w:szCs w:val="22"/>
        </w:rPr>
        <w:t xml:space="preserve"> 2011, p.21, see also, Yemi K. “</w:t>
      </w:r>
      <w:r w:rsidRPr="004005B3">
        <w:rPr>
          <w:rFonts w:ascii="Times New Roman" w:hAnsi="Times New Roman"/>
          <w:sz w:val="22"/>
          <w:szCs w:val="22"/>
        </w:rPr>
        <w:t>AMCON buys extra N1Trn bad loans for N600bn,</w:t>
      </w:r>
      <w:r w:rsidR="006E377C" w:rsidRPr="004005B3">
        <w:rPr>
          <w:rFonts w:ascii="Times New Roman" w:hAnsi="Times New Roman"/>
          <w:sz w:val="22"/>
          <w:szCs w:val="22"/>
        </w:rPr>
        <w:t>”</w:t>
      </w:r>
      <w:r w:rsidRPr="004005B3">
        <w:rPr>
          <w:rFonts w:ascii="Times New Roman" w:hAnsi="Times New Roman"/>
          <w:sz w:val="22"/>
          <w:szCs w:val="22"/>
        </w:rPr>
        <w:t xml:space="preserve"> The Punch Newspaper, Thursday, March, 31</w:t>
      </w:r>
      <w:r w:rsidRPr="004005B3">
        <w:rPr>
          <w:rFonts w:ascii="Times New Roman" w:hAnsi="Times New Roman"/>
          <w:sz w:val="22"/>
          <w:szCs w:val="22"/>
          <w:vertAlign w:val="superscript"/>
        </w:rPr>
        <w:t>st</w:t>
      </w:r>
      <w:r w:rsidRPr="004005B3">
        <w:rPr>
          <w:rFonts w:ascii="Times New Roman" w:hAnsi="Times New Roman"/>
          <w:sz w:val="22"/>
          <w:szCs w:val="22"/>
        </w:rPr>
        <w:t>2011, p.19. It was also reported in the Nigerian Tribune of 29</w:t>
      </w:r>
      <w:r w:rsidRPr="004005B3">
        <w:rPr>
          <w:rFonts w:ascii="Times New Roman" w:hAnsi="Times New Roman"/>
          <w:sz w:val="22"/>
          <w:szCs w:val="22"/>
          <w:vertAlign w:val="superscript"/>
        </w:rPr>
        <w:t>th</w:t>
      </w:r>
      <w:r w:rsidRPr="004005B3">
        <w:rPr>
          <w:rFonts w:ascii="Times New Roman" w:hAnsi="Times New Roman"/>
          <w:sz w:val="22"/>
          <w:szCs w:val="22"/>
        </w:rPr>
        <w:t xml:space="preserve"> November, 2011, that the total bad loan so far acquired by CBN is now N3.14 trillion. See also </w:t>
      </w:r>
      <w:r w:rsidRPr="004005B3">
        <w:rPr>
          <w:rFonts w:ascii="Times New Roman" w:hAnsi="Times New Roman"/>
          <w:i/>
          <w:sz w:val="22"/>
          <w:szCs w:val="22"/>
        </w:rPr>
        <w:t>The Sun</w:t>
      </w:r>
      <w:r w:rsidRPr="004005B3">
        <w:rPr>
          <w:rFonts w:ascii="Times New Roman" w:hAnsi="Times New Roman"/>
          <w:sz w:val="22"/>
          <w:szCs w:val="22"/>
        </w:rPr>
        <w:t xml:space="preserve"> Newspaper (Nigeria) November 29, 2011.</w:t>
      </w:r>
    </w:p>
  </w:footnote>
  <w:footnote w:id="10">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6E377C" w:rsidRPr="004005B3">
        <w:rPr>
          <w:rFonts w:ascii="Times New Roman" w:hAnsi="Times New Roman"/>
          <w:sz w:val="22"/>
          <w:szCs w:val="22"/>
        </w:rPr>
        <w:tab/>
      </w:r>
      <w:r w:rsidRPr="004005B3">
        <w:rPr>
          <w:rFonts w:ascii="Times New Roman" w:hAnsi="Times New Roman"/>
          <w:sz w:val="22"/>
          <w:szCs w:val="22"/>
        </w:rPr>
        <w:t>For example, barristers, authors and some professional firms.</w:t>
      </w:r>
    </w:p>
  </w:footnote>
  <w:footnote w:id="11">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6E377C" w:rsidRPr="004005B3">
        <w:rPr>
          <w:rFonts w:ascii="Times New Roman" w:hAnsi="Times New Roman"/>
          <w:sz w:val="22"/>
          <w:szCs w:val="22"/>
        </w:rPr>
        <w:tab/>
      </w:r>
      <w:r w:rsidRPr="004005B3">
        <w:rPr>
          <w:rFonts w:ascii="Times New Roman" w:hAnsi="Times New Roman"/>
          <w:sz w:val="22"/>
          <w:szCs w:val="22"/>
        </w:rPr>
        <w:t xml:space="preserve">F. Christopher, and W. Miles, </w:t>
      </w:r>
      <w:r w:rsidRPr="004005B3">
        <w:rPr>
          <w:rFonts w:ascii="Times New Roman" w:hAnsi="Times New Roman"/>
          <w:i/>
          <w:sz w:val="22"/>
          <w:szCs w:val="22"/>
        </w:rPr>
        <w:t>Taxation and Banking</w:t>
      </w:r>
      <w:r w:rsidRPr="004005B3">
        <w:rPr>
          <w:rFonts w:ascii="Times New Roman" w:hAnsi="Times New Roman"/>
          <w:sz w:val="22"/>
          <w:szCs w:val="22"/>
        </w:rPr>
        <w:t xml:space="preserve"> (London</w:t>
      </w:r>
      <w:r w:rsidR="006E377C" w:rsidRPr="004005B3">
        <w:rPr>
          <w:rFonts w:ascii="Times New Roman" w:hAnsi="Times New Roman"/>
          <w:sz w:val="22"/>
          <w:szCs w:val="22"/>
        </w:rPr>
        <w:t>:</w:t>
      </w:r>
      <w:r w:rsidRPr="004005B3">
        <w:rPr>
          <w:rFonts w:ascii="Times New Roman" w:hAnsi="Times New Roman"/>
          <w:sz w:val="22"/>
          <w:szCs w:val="22"/>
        </w:rPr>
        <w:t xml:space="preserve"> Sweet &amp; Maxwell, 1990), p.41.</w:t>
      </w:r>
    </w:p>
  </w:footnote>
  <w:footnote w:id="12">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4506E8" w:rsidRPr="004005B3">
        <w:rPr>
          <w:rFonts w:ascii="Times New Roman" w:hAnsi="Times New Roman"/>
          <w:sz w:val="22"/>
          <w:szCs w:val="22"/>
        </w:rPr>
        <w:tab/>
      </w:r>
      <w:r w:rsidRPr="004005B3">
        <w:rPr>
          <w:rFonts w:ascii="Times New Roman" w:hAnsi="Times New Roman"/>
          <w:sz w:val="22"/>
          <w:szCs w:val="22"/>
        </w:rPr>
        <w:t xml:space="preserve">M.T. Abdulrazaq, </w:t>
      </w:r>
      <w:r w:rsidRPr="004005B3">
        <w:rPr>
          <w:rFonts w:ascii="Times New Roman" w:hAnsi="Times New Roman"/>
          <w:i/>
          <w:sz w:val="22"/>
          <w:szCs w:val="22"/>
        </w:rPr>
        <w:t>The Basis of Taxation for Nigerian Banks,</w:t>
      </w:r>
      <w:r w:rsidRPr="004005B3">
        <w:rPr>
          <w:rFonts w:ascii="Times New Roman" w:hAnsi="Times New Roman"/>
          <w:sz w:val="22"/>
          <w:szCs w:val="22"/>
        </w:rPr>
        <w:t xml:space="preserve"> (Nigerian Tax Notes, 1995), p.1</w:t>
      </w:r>
    </w:p>
  </w:footnote>
  <w:footnote w:id="13">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4506E8" w:rsidRPr="004005B3">
        <w:rPr>
          <w:rFonts w:ascii="Times New Roman" w:hAnsi="Times New Roman"/>
          <w:sz w:val="22"/>
          <w:szCs w:val="22"/>
        </w:rPr>
        <w:tab/>
      </w:r>
      <w:r w:rsidRPr="004005B3">
        <w:rPr>
          <w:rFonts w:ascii="Times New Roman" w:hAnsi="Times New Roman"/>
          <w:i/>
          <w:sz w:val="22"/>
          <w:szCs w:val="22"/>
        </w:rPr>
        <w:t>Ibid</w:t>
      </w:r>
      <w:r w:rsidRPr="004005B3">
        <w:rPr>
          <w:rFonts w:ascii="Times New Roman" w:hAnsi="Times New Roman"/>
          <w:sz w:val="22"/>
          <w:szCs w:val="22"/>
        </w:rPr>
        <w:t>, p.78, See also Christopher and Miles, above note 10, p.12.</w:t>
      </w:r>
    </w:p>
  </w:footnote>
  <w:footnote w:id="14">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4506E8" w:rsidRPr="004005B3">
        <w:rPr>
          <w:rFonts w:ascii="Times New Roman" w:hAnsi="Times New Roman"/>
          <w:sz w:val="22"/>
          <w:szCs w:val="22"/>
        </w:rPr>
        <w:tab/>
      </w:r>
      <w:r w:rsidRPr="004005B3">
        <w:rPr>
          <w:rFonts w:ascii="Times New Roman" w:hAnsi="Times New Roman"/>
          <w:sz w:val="22"/>
          <w:szCs w:val="22"/>
        </w:rPr>
        <w:t xml:space="preserve">For example, the </w:t>
      </w:r>
      <w:r w:rsidRPr="004005B3">
        <w:rPr>
          <w:rFonts w:ascii="Times New Roman" w:hAnsi="Times New Roman"/>
          <w:i/>
          <w:sz w:val="22"/>
          <w:szCs w:val="22"/>
        </w:rPr>
        <w:t>Willingle v International Commercial Bank Ltd</w:t>
      </w:r>
      <w:r w:rsidRPr="004005B3">
        <w:rPr>
          <w:rFonts w:ascii="Times New Roman" w:hAnsi="Times New Roman"/>
          <w:sz w:val="22"/>
          <w:szCs w:val="22"/>
        </w:rPr>
        <w:t xml:space="preserve"> (1978) STC 75, </w:t>
      </w:r>
      <w:r w:rsidRPr="004005B3">
        <w:rPr>
          <w:rFonts w:ascii="Times New Roman" w:hAnsi="Times New Roman"/>
          <w:i/>
          <w:sz w:val="22"/>
          <w:szCs w:val="22"/>
        </w:rPr>
        <w:t>Patttison v Marine Midland</w:t>
      </w:r>
      <w:r w:rsidRPr="004005B3">
        <w:rPr>
          <w:rFonts w:ascii="Times New Roman" w:hAnsi="Times New Roman"/>
          <w:sz w:val="22"/>
          <w:szCs w:val="22"/>
        </w:rPr>
        <w:t xml:space="preserve"> (1984) STC 10 and </w:t>
      </w:r>
      <w:r w:rsidRPr="004005B3">
        <w:rPr>
          <w:rFonts w:ascii="Times New Roman" w:hAnsi="Times New Roman"/>
          <w:i/>
          <w:sz w:val="22"/>
          <w:szCs w:val="22"/>
        </w:rPr>
        <w:t>Symons v Weeks</w:t>
      </w:r>
      <w:r w:rsidRPr="004005B3">
        <w:rPr>
          <w:rFonts w:ascii="Times New Roman" w:hAnsi="Times New Roman"/>
          <w:sz w:val="22"/>
          <w:szCs w:val="22"/>
        </w:rPr>
        <w:t xml:space="preserve"> (1983) STC 195.</w:t>
      </w:r>
    </w:p>
  </w:footnote>
  <w:footnote w:id="15">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4506E8" w:rsidRPr="004005B3">
        <w:rPr>
          <w:rFonts w:ascii="Times New Roman" w:hAnsi="Times New Roman"/>
          <w:sz w:val="22"/>
          <w:szCs w:val="22"/>
        </w:rPr>
        <w:tab/>
      </w:r>
      <w:r w:rsidRPr="004005B3">
        <w:rPr>
          <w:rFonts w:ascii="Times New Roman" w:hAnsi="Times New Roman"/>
          <w:sz w:val="22"/>
          <w:szCs w:val="22"/>
        </w:rPr>
        <w:t>Abdulrazaq above note 11, p.79.</w:t>
      </w:r>
    </w:p>
  </w:footnote>
  <w:footnote w:id="16">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E109BD" w:rsidRPr="004005B3">
        <w:rPr>
          <w:rFonts w:ascii="Times New Roman" w:hAnsi="Times New Roman"/>
          <w:sz w:val="22"/>
          <w:szCs w:val="22"/>
        </w:rPr>
        <w:tab/>
      </w:r>
      <w:r w:rsidRPr="004005B3">
        <w:rPr>
          <w:rFonts w:ascii="Times New Roman" w:hAnsi="Times New Roman"/>
          <w:sz w:val="22"/>
          <w:szCs w:val="22"/>
        </w:rPr>
        <w:t xml:space="preserve">This was the principle laid down in the cases of </w:t>
      </w:r>
      <w:r w:rsidRPr="004005B3">
        <w:rPr>
          <w:rFonts w:ascii="Times New Roman" w:hAnsi="Times New Roman"/>
          <w:i/>
          <w:sz w:val="22"/>
          <w:szCs w:val="22"/>
        </w:rPr>
        <w:t xml:space="preserve">Sun Insurance Office v Clark </w:t>
      </w:r>
      <w:r w:rsidRPr="004005B3">
        <w:rPr>
          <w:rFonts w:ascii="Times New Roman" w:hAnsi="Times New Roman"/>
          <w:sz w:val="22"/>
          <w:szCs w:val="22"/>
        </w:rPr>
        <w:t xml:space="preserve">(1912)AC 443 at 455 per Lord Halden, </w:t>
      </w:r>
      <w:r w:rsidRPr="004005B3">
        <w:rPr>
          <w:rFonts w:ascii="Times New Roman" w:hAnsi="Times New Roman"/>
          <w:i/>
          <w:sz w:val="22"/>
          <w:szCs w:val="22"/>
        </w:rPr>
        <w:t>Gresham Life Assurance Society v Styles</w:t>
      </w:r>
      <w:r w:rsidRPr="004005B3">
        <w:rPr>
          <w:rFonts w:ascii="Times New Roman" w:hAnsi="Times New Roman"/>
          <w:sz w:val="22"/>
          <w:szCs w:val="22"/>
        </w:rPr>
        <w:t xml:space="preserve"> 3 TC 188,per lord Halsbury. </w:t>
      </w:r>
    </w:p>
  </w:footnote>
  <w:footnote w:id="17">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E109BD" w:rsidRPr="004005B3">
        <w:rPr>
          <w:rFonts w:ascii="Times New Roman" w:hAnsi="Times New Roman"/>
          <w:sz w:val="22"/>
          <w:szCs w:val="22"/>
        </w:rPr>
        <w:tab/>
      </w:r>
      <w:r w:rsidRPr="004005B3">
        <w:rPr>
          <w:rFonts w:ascii="Times New Roman" w:hAnsi="Times New Roman"/>
          <w:sz w:val="22"/>
          <w:szCs w:val="22"/>
        </w:rPr>
        <w:t xml:space="preserve">See </w:t>
      </w:r>
      <w:r w:rsidRPr="004005B3">
        <w:rPr>
          <w:rFonts w:ascii="Times New Roman" w:hAnsi="Times New Roman"/>
          <w:i/>
          <w:sz w:val="22"/>
          <w:szCs w:val="22"/>
        </w:rPr>
        <w:t xml:space="preserve">Viscount Simon in IRC v Gardner Mountain and D’Ambrurnenil Ltd </w:t>
      </w:r>
      <w:r w:rsidRPr="004005B3">
        <w:rPr>
          <w:rFonts w:ascii="Times New Roman" w:hAnsi="Times New Roman"/>
          <w:sz w:val="22"/>
          <w:szCs w:val="22"/>
        </w:rPr>
        <w:t>29 TC 69.</w:t>
      </w:r>
    </w:p>
  </w:footnote>
  <w:footnote w:id="18">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E109BD" w:rsidRPr="004005B3">
        <w:rPr>
          <w:rFonts w:ascii="Times New Roman" w:hAnsi="Times New Roman"/>
          <w:sz w:val="22"/>
          <w:szCs w:val="22"/>
        </w:rPr>
        <w:tab/>
      </w:r>
      <w:r w:rsidRPr="004005B3">
        <w:rPr>
          <w:rFonts w:ascii="Times New Roman" w:hAnsi="Times New Roman"/>
          <w:sz w:val="22"/>
          <w:szCs w:val="22"/>
        </w:rPr>
        <w:t>12 TC 813 at 823.</w:t>
      </w:r>
    </w:p>
  </w:footnote>
  <w:footnote w:id="19">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E109BD" w:rsidRPr="004005B3">
        <w:rPr>
          <w:rFonts w:ascii="Times New Roman" w:hAnsi="Times New Roman"/>
          <w:sz w:val="22"/>
          <w:szCs w:val="22"/>
        </w:rPr>
        <w:tab/>
      </w:r>
      <w:r w:rsidRPr="004005B3">
        <w:rPr>
          <w:rFonts w:ascii="Times New Roman" w:hAnsi="Times New Roman"/>
          <w:sz w:val="22"/>
          <w:szCs w:val="22"/>
        </w:rPr>
        <w:t>See Abdulrazaq above note 11</w:t>
      </w:r>
      <w:r w:rsidR="00E109BD" w:rsidRPr="004005B3">
        <w:rPr>
          <w:rFonts w:ascii="Times New Roman" w:hAnsi="Times New Roman"/>
          <w:sz w:val="22"/>
          <w:szCs w:val="22"/>
        </w:rPr>
        <w:t xml:space="preserve"> at</w:t>
      </w:r>
      <w:r w:rsidRPr="004005B3">
        <w:rPr>
          <w:rFonts w:ascii="Times New Roman" w:hAnsi="Times New Roman"/>
          <w:sz w:val="22"/>
          <w:szCs w:val="22"/>
        </w:rPr>
        <w:t xml:space="preserve"> p.80. See also Christopher and Miles above</w:t>
      </w:r>
      <w:r w:rsidR="00E109BD" w:rsidRPr="004005B3">
        <w:rPr>
          <w:rFonts w:ascii="Times New Roman" w:hAnsi="Times New Roman"/>
          <w:sz w:val="22"/>
          <w:szCs w:val="22"/>
        </w:rPr>
        <w:t xml:space="preserve"> note 10 at</w:t>
      </w:r>
      <w:r w:rsidRPr="004005B3">
        <w:rPr>
          <w:rFonts w:ascii="Times New Roman" w:hAnsi="Times New Roman"/>
          <w:sz w:val="22"/>
          <w:szCs w:val="22"/>
        </w:rPr>
        <w:t xml:space="preserve"> p.13.</w:t>
      </w:r>
    </w:p>
  </w:footnote>
  <w:footnote w:id="20">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E109BD" w:rsidRPr="004005B3">
        <w:rPr>
          <w:rFonts w:ascii="Times New Roman" w:hAnsi="Times New Roman"/>
          <w:sz w:val="22"/>
          <w:szCs w:val="22"/>
        </w:rPr>
        <w:tab/>
      </w:r>
      <w:r w:rsidRPr="004005B3">
        <w:rPr>
          <w:rFonts w:ascii="Times New Roman" w:hAnsi="Times New Roman"/>
          <w:i/>
          <w:sz w:val="22"/>
          <w:szCs w:val="22"/>
        </w:rPr>
        <w:t>John v W. S. Try Ltd</w:t>
      </w:r>
      <w:r w:rsidRPr="004005B3">
        <w:rPr>
          <w:rFonts w:ascii="Times New Roman" w:hAnsi="Times New Roman"/>
          <w:sz w:val="22"/>
          <w:szCs w:val="22"/>
        </w:rPr>
        <w:t>.27 TC 167.</w:t>
      </w:r>
    </w:p>
  </w:footnote>
  <w:footnote w:id="21">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F85F3F" w:rsidRPr="004005B3">
        <w:rPr>
          <w:rFonts w:ascii="Times New Roman" w:hAnsi="Times New Roman"/>
          <w:sz w:val="22"/>
          <w:szCs w:val="22"/>
        </w:rPr>
        <w:tab/>
      </w:r>
      <w:r w:rsidRPr="004005B3">
        <w:rPr>
          <w:rFonts w:ascii="Times New Roman" w:hAnsi="Times New Roman"/>
          <w:sz w:val="22"/>
          <w:szCs w:val="22"/>
        </w:rPr>
        <w:t xml:space="preserve">See </w:t>
      </w:r>
      <w:r w:rsidRPr="004005B3">
        <w:rPr>
          <w:rFonts w:ascii="Times New Roman" w:hAnsi="Times New Roman"/>
          <w:i/>
          <w:sz w:val="22"/>
          <w:szCs w:val="22"/>
        </w:rPr>
        <w:t>Duple Motor Bodies Ltd. v Ostime</w:t>
      </w:r>
      <w:r w:rsidRPr="004005B3">
        <w:rPr>
          <w:rFonts w:ascii="Times New Roman" w:hAnsi="Times New Roman"/>
          <w:sz w:val="22"/>
          <w:szCs w:val="22"/>
        </w:rPr>
        <w:t xml:space="preserve"> 39 TC 537.</w:t>
      </w:r>
    </w:p>
  </w:footnote>
  <w:footnote w:id="22">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F85F3F" w:rsidRPr="004005B3">
        <w:rPr>
          <w:rFonts w:ascii="Times New Roman" w:hAnsi="Times New Roman"/>
          <w:sz w:val="22"/>
          <w:szCs w:val="22"/>
        </w:rPr>
        <w:tab/>
      </w:r>
      <w:r w:rsidRPr="004005B3">
        <w:rPr>
          <w:rFonts w:ascii="Times New Roman" w:hAnsi="Times New Roman"/>
          <w:sz w:val="22"/>
          <w:szCs w:val="22"/>
        </w:rPr>
        <w:t>2004</w:t>
      </w:r>
      <w:r w:rsidR="00F85F3F" w:rsidRPr="004005B3">
        <w:rPr>
          <w:rFonts w:ascii="Times New Roman" w:hAnsi="Times New Roman"/>
          <w:sz w:val="22"/>
          <w:szCs w:val="22"/>
        </w:rPr>
        <w:t>.</w:t>
      </w:r>
    </w:p>
  </w:footnote>
  <w:footnote w:id="23">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F85F3F" w:rsidRPr="004005B3">
        <w:rPr>
          <w:rFonts w:ascii="Times New Roman" w:hAnsi="Times New Roman"/>
          <w:sz w:val="22"/>
          <w:szCs w:val="22"/>
        </w:rPr>
        <w:tab/>
        <w:t>I</w:t>
      </w:r>
      <w:r w:rsidRPr="004005B3">
        <w:rPr>
          <w:rFonts w:ascii="Times New Roman" w:hAnsi="Times New Roman"/>
          <w:sz w:val="22"/>
          <w:szCs w:val="22"/>
        </w:rPr>
        <w:t xml:space="preserve">n accordance with normal accounting principles, see </w:t>
      </w:r>
      <w:r w:rsidRPr="004005B3">
        <w:rPr>
          <w:rFonts w:ascii="Times New Roman" w:hAnsi="Times New Roman"/>
          <w:i/>
          <w:sz w:val="22"/>
          <w:szCs w:val="22"/>
        </w:rPr>
        <w:t>Western Sudan Exporters v FBIR</w:t>
      </w:r>
      <w:r w:rsidRPr="004005B3">
        <w:rPr>
          <w:rFonts w:ascii="Times New Roman" w:hAnsi="Times New Roman"/>
          <w:sz w:val="22"/>
          <w:szCs w:val="22"/>
        </w:rPr>
        <w:t xml:space="preserve"> 1 NTC p. 239.</w:t>
      </w:r>
    </w:p>
  </w:footnote>
  <w:footnote w:id="24">
    <w:p w:rsidR="003453B1" w:rsidRPr="004005B3" w:rsidRDefault="003453B1" w:rsidP="003453B1">
      <w:pPr>
        <w:ind w:left="720" w:hanging="720"/>
        <w:jc w:val="both"/>
        <w:rPr>
          <w:rFonts w:ascii="Times New Roman" w:hAnsi="Times New Roman"/>
        </w:rPr>
      </w:pPr>
      <w:r w:rsidRPr="004005B3">
        <w:rPr>
          <w:rStyle w:val="FootnoteReference"/>
          <w:rFonts w:ascii="Times New Roman" w:hAnsi="Times New Roman"/>
        </w:rPr>
        <w:footnoteRef/>
      </w:r>
      <w:r w:rsidRPr="004005B3">
        <w:rPr>
          <w:rFonts w:ascii="Times New Roman" w:hAnsi="Times New Roman"/>
        </w:rPr>
        <w:t xml:space="preserve"> </w:t>
      </w:r>
      <w:r w:rsidR="00F85F3F" w:rsidRPr="004005B3">
        <w:rPr>
          <w:rFonts w:ascii="Times New Roman" w:hAnsi="Times New Roman"/>
        </w:rPr>
        <w:tab/>
      </w:r>
      <w:r w:rsidRPr="004005B3">
        <w:rPr>
          <w:rFonts w:ascii="Times New Roman" w:hAnsi="Times New Roman"/>
        </w:rPr>
        <w:t xml:space="preserve">See Lord Radcliffe’s views in </w:t>
      </w:r>
      <w:r w:rsidRPr="004005B3">
        <w:rPr>
          <w:rFonts w:ascii="Times New Roman" w:hAnsi="Times New Roman"/>
          <w:i/>
        </w:rPr>
        <w:t xml:space="preserve">Owen (HM. Inspector of Taxes) v Southern Rai1way of Peru </w:t>
      </w:r>
      <w:r w:rsidRPr="004005B3">
        <w:rPr>
          <w:rFonts w:ascii="Times New Roman" w:hAnsi="Times New Roman"/>
        </w:rPr>
        <w:t>36 TC</w:t>
      </w:r>
      <w:r w:rsidR="00F85F3F" w:rsidRPr="004005B3">
        <w:rPr>
          <w:rFonts w:ascii="Times New Roman" w:hAnsi="Times New Roman"/>
        </w:rPr>
        <w:t xml:space="preserve"> </w:t>
      </w:r>
      <w:r w:rsidRPr="004005B3">
        <w:rPr>
          <w:rFonts w:ascii="Times New Roman" w:hAnsi="Times New Roman"/>
        </w:rPr>
        <w:t>602 at 646.</w:t>
      </w:r>
    </w:p>
  </w:footnote>
  <w:footnote w:id="25">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3E0905" w:rsidRPr="004005B3">
        <w:rPr>
          <w:rFonts w:ascii="Times New Roman" w:hAnsi="Times New Roman"/>
          <w:sz w:val="22"/>
          <w:szCs w:val="22"/>
        </w:rPr>
        <w:tab/>
      </w:r>
      <w:r w:rsidRPr="004005B3">
        <w:rPr>
          <w:rFonts w:ascii="Times New Roman" w:hAnsi="Times New Roman"/>
          <w:sz w:val="22"/>
          <w:szCs w:val="22"/>
        </w:rPr>
        <w:t xml:space="preserve">See Companies Income Tax Act, </w:t>
      </w:r>
      <w:r w:rsidRPr="004005B3">
        <w:rPr>
          <w:rFonts w:ascii="Times New Roman" w:hAnsi="Times New Roman"/>
          <w:i/>
          <w:sz w:val="22"/>
          <w:szCs w:val="22"/>
        </w:rPr>
        <w:t>Cap 60 Laws of the Federation of Nigeria 1990,</w:t>
      </w:r>
      <w:r w:rsidRPr="004005B3">
        <w:rPr>
          <w:rFonts w:ascii="Times New Roman" w:hAnsi="Times New Roman"/>
          <w:sz w:val="22"/>
          <w:szCs w:val="22"/>
        </w:rPr>
        <w:t xml:space="preserve"> s.20, now Companies Income Tax Act, </w:t>
      </w:r>
      <w:r w:rsidRPr="004005B3">
        <w:rPr>
          <w:rFonts w:ascii="Times New Roman" w:hAnsi="Times New Roman"/>
          <w:i/>
          <w:sz w:val="22"/>
          <w:szCs w:val="22"/>
        </w:rPr>
        <w:t>Cap C21 Laws of the Federation of Nigeria 2004</w:t>
      </w:r>
      <w:r w:rsidRPr="004005B3">
        <w:rPr>
          <w:rFonts w:ascii="Times New Roman" w:hAnsi="Times New Roman"/>
          <w:sz w:val="22"/>
          <w:szCs w:val="22"/>
        </w:rPr>
        <w:t>, s.24</w:t>
      </w:r>
    </w:p>
  </w:footnote>
  <w:footnote w:id="26">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3E0905" w:rsidRPr="004005B3">
        <w:rPr>
          <w:rFonts w:ascii="Times New Roman" w:hAnsi="Times New Roman"/>
          <w:sz w:val="22"/>
          <w:szCs w:val="22"/>
        </w:rPr>
        <w:tab/>
      </w:r>
      <w:r w:rsidRPr="004005B3">
        <w:rPr>
          <w:rFonts w:ascii="Times New Roman" w:hAnsi="Times New Roman"/>
          <w:sz w:val="22"/>
          <w:szCs w:val="22"/>
        </w:rPr>
        <w:t xml:space="preserve">On the preparation of Financial Statement and Accounting Records, see Companies and Allied Matters Act, </w:t>
      </w:r>
      <w:r w:rsidRPr="004005B3">
        <w:rPr>
          <w:rFonts w:ascii="Times New Roman" w:hAnsi="Times New Roman"/>
          <w:i/>
          <w:sz w:val="22"/>
          <w:szCs w:val="22"/>
        </w:rPr>
        <w:t>Cap C20 LFN 2004</w:t>
      </w:r>
      <w:r w:rsidRPr="004005B3">
        <w:rPr>
          <w:rFonts w:ascii="Times New Roman" w:hAnsi="Times New Roman"/>
          <w:sz w:val="22"/>
          <w:szCs w:val="22"/>
        </w:rPr>
        <w:t xml:space="preserve">, SS 331 and 332. </w:t>
      </w:r>
      <w:r w:rsidR="003E0905" w:rsidRPr="004005B3">
        <w:rPr>
          <w:rFonts w:ascii="Times New Roman" w:hAnsi="Times New Roman"/>
          <w:sz w:val="22"/>
          <w:szCs w:val="22"/>
        </w:rPr>
        <w:t>Also,</w:t>
      </w:r>
      <w:r w:rsidRPr="004005B3">
        <w:rPr>
          <w:rFonts w:ascii="Times New Roman" w:hAnsi="Times New Roman"/>
          <w:sz w:val="22"/>
          <w:szCs w:val="22"/>
        </w:rPr>
        <w:t xml:space="preserve"> see S. Lekan, &amp; O. Sunday, O. </w:t>
      </w:r>
      <w:r w:rsidRPr="004005B3">
        <w:rPr>
          <w:rFonts w:ascii="Times New Roman" w:hAnsi="Times New Roman"/>
          <w:i/>
          <w:sz w:val="22"/>
          <w:szCs w:val="22"/>
        </w:rPr>
        <w:t>Taxation Principles and Practice in Nigeria</w:t>
      </w:r>
      <w:r w:rsidRPr="004005B3">
        <w:rPr>
          <w:rFonts w:ascii="Times New Roman" w:hAnsi="Times New Roman"/>
          <w:sz w:val="22"/>
          <w:szCs w:val="22"/>
        </w:rPr>
        <w:t>, (</w:t>
      </w:r>
      <w:r w:rsidR="003E0905" w:rsidRPr="004005B3">
        <w:rPr>
          <w:rFonts w:ascii="Times New Roman" w:hAnsi="Times New Roman"/>
          <w:sz w:val="22"/>
          <w:szCs w:val="22"/>
        </w:rPr>
        <w:t xml:space="preserve">Ibadan: </w:t>
      </w:r>
      <w:r w:rsidRPr="004005B3">
        <w:rPr>
          <w:rFonts w:ascii="Times New Roman" w:hAnsi="Times New Roman"/>
          <w:sz w:val="22"/>
          <w:szCs w:val="22"/>
        </w:rPr>
        <w:t xml:space="preserve">Silicon Publishing Company, 2006) p.290. See also, E.A. Ogundele, </w:t>
      </w:r>
      <w:r w:rsidRPr="004005B3">
        <w:rPr>
          <w:rFonts w:ascii="Times New Roman" w:hAnsi="Times New Roman"/>
          <w:i/>
          <w:sz w:val="22"/>
          <w:szCs w:val="22"/>
        </w:rPr>
        <w:t>Element of Taxation</w:t>
      </w:r>
      <w:r w:rsidRPr="004005B3">
        <w:rPr>
          <w:rFonts w:ascii="Times New Roman" w:hAnsi="Times New Roman"/>
          <w:sz w:val="22"/>
          <w:szCs w:val="22"/>
        </w:rPr>
        <w:t>, (</w:t>
      </w:r>
      <w:r w:rsidR="003E0905" w:rsidRPr="004005B3">
        <w:rPr>
          <w:rFonts w:ascii="Times New Roman" w:hAnsi="Times New Roman"/>
          <w:sz w:val="22"/>
          <w:szCs w:val="22"/>
        </w:rPr>
        <w:t xml:space="preserve">Lagos: </w:t>
      </w:r>
      <w:r w:rsidRPr="004005B3">
        <w:rPr>
          <w:rFonts w:ascii="Times New Roman" w:hAnsi="Times New Roman"/>
          <w:sz w:val="22"/>
          <w:szCs w:val="22"/>
        </w:rPr>
        <w:t>Libri service Nig. Ltd., 1999), p.</w:t>
      </w:r>
      <w:r w:rsidR="003E0905" w:rsidRPr="004005B3">
        <w:rPr>
          <w:rFonts w:ascii="Times New Roman" w:hAnsi="Times New Roman"/>
          <w:sz w:val="22"/>
          <w:szCs w:val="22"/>
        </w:rPr>
        <w:t xml:space="preserve"> </w:t>
      </w:r>
      <w:r w:rsidRPr="004005B3">
        <w:rPr>
          <w:rFonts w:ascii="Times New Roman" w:hAnsi="Times New Roman"/>
          <w:sz w:val="22"/>
          <w:szCs w:val="22"/>
        </w:rPr>
        <w:t>373.</w:t>
      </w:r>
    </w:p>
  </w:footnote>
  <w:footnote w:id="27">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3E0905" w:rsidRPr="004005B3">
        <w:rPr>
          <w:rFonts w:ascii="Times New Roman" w:hAnsi="Times New Roman"/>
          <w:sz w:val="22"/>
          <w:szCs w:val="22"/>
        </w:rPr>
        <w:tab/>
      </w:r>
      <w:r w:rsidRPr="004005B3">
        <w:rPr>
          <w:rFonts w:ascii="Times New Roman" w:hAnsi="Times New Roman"/>
          <w:sz w:val="22"/>
          <w:szCs w:val="22"/>
        </w:rPr>
        <w:t>M.T. Abdulrazaq, “Tax Implications of Provision for Bad Debts by Nigerian Banks</w:t>
      </w:r>
      <w:r w:rsidR="003E0905" w:rsidRPr="004005B3">
        <w:rPr>
          <w:rFonts w:ascii="Times New Roman" w:hAnsi="Times New Roman"/>
          <w:sz w:val="22"/>
          <w:szCs w:val="22"/>
        </w:rPr>
        <w:t>,</w:t>
      </w:r>
      <w:r w:rsidRPr="004005B3">
        <w:rPr>
          <w:rFonts w:ascii="Times New Roman" w:hAnsi="Times New Roman"/>
          <w:sz w:val="22"/>
          <w:szCs w:val="22"/>
        </w:rPr>
        <w:t>” (unpublished working paper)</w:t>
      </w:r>
      <w:r w:rsidR="003E0905" w:rsidRPr="004005B3">
        <w:rPr>
          <w:rFonts w:ascii="Times New Roman" w:hAnsi="Times New Roman"/>
          <w:sz w:val="22"/>
          <w:szCs w:val="22"/>
        </w:rPr>
        <w:t>,</w:t>
      </w:r>
      <w:r w:rsidRPr="004005B3">
        <w:rPr>
          <w:rFonts w:ascii="Times New Roman" w:hAnsi="Times New Roman"/>
          <w:sz w:val="22"/>
          <w:szCs w:val="22"/>
        </w:rPr>
        <w:t xml:space="preserve"> p.</w:t>
      </w:r>
      <w:r w:rsidR="003E0905" w:rsidRPr="004005B3">
        <w:rPr>
          <w:rFonts w:ascii="Times New Roman" w:hAnsi="Times New Roman"/>
          <w:sz w:val="22"/>
          <w:szCs w:val="22"/>
        </w:rPr>
        <w:t xml:space="preserve"> </w:t>
      </w:r>
      <w:r w:rsidRPr="004005B3">
        <w:rPr>
          <w:rFonts w:ascii="Times New Roman" w:hAnsi="Times New Roman"/>
          <w:sz w:val="22"/>
          <w:szCs w:val="22"/>
        </w:rPr>
        <w:t>57.</w:t>
      </w:r>
    </w:p>
  </w:footnote>
  <w:footnote w:id="28">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3E0905" w:rsidRPr="004005B3">
        <w:rPr>
          <w:rFonts w:ascii="Times New Roman" w:hAnsi="Times New Roman"/>
          <w:sz w:val="22"/>
          <w:szCs w:val="22"/>
        </w:rPr>
        <w:tab/>
      </w:r>
      <w:r w:rsidRPr="004005B3">
        <w:rPr>
          <w:rFonts w:ascii="Times New Roman" w:hAnsi="Times New Roman"/>
          <w:sz w:val="22"/>
          <w:szCs w:val="22"/>
        </w:rPr>
        <w:t>Christopher and Miles, above note 10, p.</w:t>
      </w:r>
      <w:r w:rsidR="003E0905" w:rsidRPr="004005B3">
        <w:rPr>
          <w:rFonts w:ascii="Times New Roman" w:hAnsi="Times New Roman"/>
          <w:sz w:val="22"/>
          <w:szCs w:val="22"/>
        </w:rPr>
        <w:t xml:space="preserve"> </w:t>
      </w:r>
      <w:r w:rsidRPr="004005B3">
        <w:rPr>
          <w:rFonts w:ascii="Times New Roman" w:hAnsi="Times New Roman"/>
          <w:sz w:val="22"/>
          <w:szCs w:val="22"/>
        </w:rPr>
        <w:t>42.</w:t>
      </w:r>
    </w:p>
  </w:footnote>
  <w:footnote w:id="29">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085184" w:rsidRPr="004005B3">
        <w:rPr>
          <w:rFonts w:ascii="Times New Roman" w:hAnsi="Times New Roman"/>
          <w:sz w:val="22"/>
          <w:szCs w:val="22"/>
        </w:rPr>
        <w:tab/>
      </w:r>
      <w:r w:rsidRPr="004005B3">
        <w:rPr>
          <w:rFonts w:ascii="Times New Roman" w:hAnsi="Times New Roman"/>
          <w:sz w:val="22"/>
          <w:szCs w:val="22"/>
        </w:rPr>
        <w:t xml:space="preserve">Going by the provision in Personal Income Tax Act, </w:t>
      </w:r>
      <w:r w:rsidRPr="004005B3">
        <w:rPr>
          <w:rFonts w:ascii="Times New Roman" w:hAnsi="Times New Roman"/>
          <w:i/>
          <w:sz w:val="22"/>
          <w:szCs w:val="22"/>
        </w:rPr>
        <w:t>Cap P8 LFN, 2004</w:t>
      </w:r>
      <w:r w:rsidRPr="004005B3">
        <w:rPr>
          <w:rFonts w:ascii="Times New Roman" w:hAnsi="Times New Roman"/>
          <w:sz w:val="22"/>
          <w:szCs w:val="22"/>
        </w:rPr>
        <w:t>, s. 20(1)(c), this adjustment is for debtors, but if the assessment is made on a cash basis, no deduction can be allowed until the payment is made and the expense incurred.</w:t>
      </w:r>
    </w:p>
  </w:footnote>
  <w:footnote w:id="30">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085184" w:rsidRPr="004005B3">
        <w:rPr>
          <w:rFonts w:ascii="Times New Roman" w:hAnsi="Times New Roman"/>
          <w:sz w:val="22"/>
          <w:szCs w:val="22"/>
        </w:rPr>
        <w:tab/>
      </w:r>
      <w:r w:rsidRPr="004005B3">
        <w:rPr>
          <w:rFonts w:ascii="Times New Roman" w:hAnsi="Times New Roman"/>
          <w:sz w:val="22"/>
          <w:szCs w:val="22"/>
        </w:rPr>
        <w:t xml:space="preserve">Companies Income Tax Act, </w:t>
      </w:r>
      <w:r w:rsidRPr="004005B3">
        <w:rPr>
          <w:rFonts w:ascii="Times New Roman" w:hAnsi="Times New Roman"/>
          <w:i/>
          <w:sz w:val="22"/>
          <w:szCs w:val="22"/>
        </w:rPr>
        <w:t>Cap C21 Laws of the Federation of Nigeria 2004</w:t>
      </w:r>
      <w:r w:rsidRPr="004005B3">
        <w:rPr>
          <w:rFonts w:ascii="Times New Roman" w:hAnsi="Times New Roman"/>
          <w:sz w:val="22"/>
          <w:szCs w:val="22"/>
        </w:rPr>
        <w:t>, s.29 (2).</w:t>
      </w:r>
    </w:p>
  </w:footnote>
  <w:footnote w:id="31">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085184" w:rsidRPr="004005B3">
        <w:rPr>
          <w:rFonts w:ascii="Times New Roman" w:hAnsi="Times New Roman"/>
          <w:sz w:val="22"/>
          <w:szCs w:val="22"/>
        </w:rPr>
        <w:tab/>
      </w:r>
      <w:r w:rsidRPr="004005B3">
        <w:rPr>
          <w:rFonts w:ascii="Times New Roman" w:hAnsi="Times New Roman"/>
          <w:sz w:val="22"/>
          <w:szCs w:val="22"/>
        </w:rPr>
        <w:t xml:space="preserve">A.A. James, </w:t>
      </w:r>
      <w:r w:rsidRPr="004005B3">
        <w:rPr>
          <w:rFonts w:ascii="Times New Roman" w:hAnsi="Times New Roman"/>
          <w:i/>
          <w:sz w:val="22"/>
          <w:szCs w:val="22"/>
        </w:rPr>
        <w:t>Companies Taxation in Nigeria</w:t>
      </w:r>
      <w:r w:rsidRPr="004005B3">
        <w:rPr>
          <w:rFonts w:ascii="Times New Roman" w:hAnsi="Times New Roman"/>
          <w:sz w:val="22"/>
          <w:szCs w:val="22"/>
        </w:rPr>
        <w:t>,</w:t>
      </w:r>
      <w:r w:rsidR="00085184" w:rsidRPr="004005B3">
        <w:rPr>
          <w:rFonts w:ascii="Times New Roman" w:hAnsi="Times New Roman"/>
          <w:sz w:val="22"/>
          <w:szCs w:val="22"/>
        </w:rPr>
        <w:t xml:space="preserve"> </w:t>
      </w:r>
      <w:r w:rsidRPr="004005B3">
        <w:rPr>
          <w:rFonts w:ascii="Times New Roman" w:hAnsi="Times New Roman"/>
          <w:sz w:val="22"/>
          <w:szCs w:val="22"/>
        </w:rPr>
        <w:t>(3</w:t>
      </w:r>
      <w:r w:rsidRPr="004005B3">
        <w:rPr>
          <w:rFonts w:ascii="Times New Roman" w:hAnsi="Times New Roman"/>
          <w:sz w:val="22"/>
          <w:szCs w:val="22"/>
          <w:vertAlign w:val="superscript"/>
        </w:rPr>
        <w:t>rd</w:t>
      </w:r>
      <w:r w:rsidRPr="004005B3">
        <w:rPr>
          <w:rFonts w:ascii="Times New Roman" w:hAnsi="Times New Roman"/>
          <w:sz w:val="22"/>
          <w:szCs w:val="22"/>
        </w:rPr>
        <w:t>edn.</w:t>
      </w:r>
      <w:r w:rsidR="00085184" w:rsidRPr="004005B3">
        <w:rPr>
          <w:rFonts w:ascii="Times New Roman" w:hAnsi="Times New Roman"/>
          <w:sz w:val="22"/>
          <w:szCs w:val="22"/>
        </w:rPr>
        <w:t>),</w:t>
      </w:r>
      <w:r w:rsidRPr="004005B3">
        <w:rPr>
          <w:rFonts w:ascii="Times New Roman" w:hAnsi="Times New Roman"/>
          <w:sz w:val="22"/>
          <w:szCs w:val="22"/>
        </w:rPr>
        <w:t xml:space="preserve"> </w:t>
      </w:r>
      <w:r w:rsidR="00085184" w:rsidRPr="004005B3">
        <w:rPr>
          <w:rFonts w:ascii="Times New Roman" w:hAnsi="Times New Roman"/>
          <w:sz w:val="22"/>
          <w:szCs w:val="22"/>
        </w:rPr>
        <w:t>(</w:t>
      </w:r>
      <w:r w:rsidRPr="004005B3">
        <w:rPr>
          <w:rFonts w:ascii="Times New Roman" w:hAnsi="Times New Roman"/>
          <w:sz w:val="22"/>
          <w:szCs w:val="22"/>
        </w:rPr>
        <w:t>JAA Nig. Ltd, 2000), pp.67-68.</w:t>
      </w:r>
    </w:p>
  </w:footnote>
  <w:footnote w:id="32">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00085184" w:rsidRPr="004005B3">
        <w:rPr>
          <w:rFonts w:ascii="Times New Roman" w:hAnsi="Times New Roman"/>
          <w:sz w:val="22"/>
          <w:szCs w:val="22"/>
        </w:rPr>
        <w:t xml:space="preserve"> </w:t>
      </w:r>
      <w:r w:rsidR="00085184" w:rsidRPr="004005B3">
        <w:rPr>
          <w:rFonts w:ascii="Times New Roman" w:hAnsi="Times New Roman"/>
          <w:sz w:val="22"/>
          <w:szCs w:val="22"/>
        </w:rPr>
        <w:tab/>
      </w:r>
      <w:r w:rsidRPr="004005B3">
        <w:rPr>
          <w:rFonts w:ascii="Times New Roman" w:hAnsi="Times New Roman"/>
          <w:sz w:val="22"/>
          <w:szCs w:val="22"/>
        </w:rPr>
        <w:t xml:space="preserve">See Personal Income Tax Decree,1993 s.36(2)(a)(ii) and Companies Income Tax Act (CITA), </w:t>
      </w:r>
      <w:r w:rsidRPr="004005B3">
        <w:rPr>
          <w:rFonts w:ascii="Times New Roman" w:hAnsi="Times New Roman"/>
          <w:i/>
          <w:sz w:val="22"/>
          <w:szCs w:val="22"/>
        </w:rPr>
        <w:t>Cap 60,</w:t>
      </w:r>
      <w:r w:rsidRPr="004005B3">
        <w:rPr>
          <w:rFonts w:ascii="Times New Roman" w:hAnsi="Times New Roman"/>
          <w:sz w:val="22"/>
          <w:szCs w:val="22"/>
        </w:rPr>
        <w:t xml:space="preserve"> </w:t>
      </w:r>
      <w:r w:rsidRPr="004005B3">
        <w:rPr>
          <w:rFonts w:ascii="Times New Roman" w:hAnsi="Times New Roman"/>
          <w:i/>
          <w:sz w:val="22"/>
          <w:szCs w:val="22"/>
        </w:rPr>
        <w:t xml:space="preserve">Laws of the Federation of Nigeria, </w:t>
      </w:r>
      <w:r w:rsidRPr="004005B3">
        <w:rPr>
          <w:rFonts w:ascii="Times New Roman" w:hAnsi="Times New Roman"/>
          <w:sz w:val="22"/>
          <w:szCs w:val="22"/>
        </w:rPr>
        <w:t xml:space="preserve">1990, s.27 (2)(a)(ii) </w:t>
      </w:r>
      <w:r w:rsidRPr="004005B3">
        <w:rPr>
          <w:rFonts w:ascii="Times New Roman" w:hAnsi="Times New Roman"/>
          <w:i/>
          <w:sz w:val="22"/>
          <w:szCs w:val="22"/>
        </w:rPr>
        <w:t xml:space="preserve"> </w:t>
      </w:r>
      <w:r w:rsidRPr="004005B3">
        <w:rPr>
          <w:rFonts w:ascii="Times New Roman" w:hAnsi="Times New Roman"/>
          <w:sz w:val="22"/>
          <w:szCs w:val="22"/>
        </w:rPr>
        <w:t xml:space="preserve"> now Companies Income Tax (CITA),</w:t>
      </w:r>
      <w:r w:rsidRPr="004005B3">
        <w:rPr>
          <w:rFonts w:ascii="Times New Roman" w:hAnsi="Times New Roman"/>
          <w:i/>
          <w:sz w:val="22"/>
          <w:szCs w:val="22"/>
        </w:rPr>
        <w:t xml:space="preserve"> Cap C21 Laws of the Federation of Nigeria </w:t>
      </w:r>
      <w:r w:rsidRPr="004005B3">
        <w:rPr>
          <w:rFonts w:ascii="Times New Roman" w:hAnsi="Times New Roman"/>
          <w:sz w:val="22"/>
          <w:szCs w:val="22"/>
        </w:rPr>
        <w:t>2004, s. 29(1)(a)(2)  Abdulrazaq</w:t>
      </w:r>
      <w:r w:rsidR="00085184" w:rsidRPr="004005B3">
        <w:rPr>
          <w:rFonts w:ascii="Times New Roman" w:hAnsi="Times New Roman"/>
          <w:sz w:val="22"/>
          <w:szCs w:val="22"/>
        </w:rPr>
        <w:t>, above</w:t>
      </w:r>
      <w:r w:rsidRPr="004005B3">
        <w:rPr>
          <w:rFonts w:ascii="Times New Roman" w:hAnsi="Times New Roman"/>
          <w:sz w:val="22"/>
          <w:szCs w:val="22"/>
        </w:rPr>
        <w:t xml:space="preserve"> note 25</w:t>
      </w:r>
      <w:r w:rsidR="00085184" w:rsidRPr="004005B3">
        <w:rPr>
          <w:rFonts w:ascii="Times New Roman" w:hAnsi="Times New Roman"/>
          <w:sz w:val="22"/>
          <w:szCs w:val="22"/>
        </w:rPr>
        <w:t xml:space="preserve"> at</w:t>
      </w:r>
      <w:r w:rsidRPr="004005B3">
        <w:rPr>
          <w:rFonts w:ascii="Times New Roman" w:hAnsi="Times New Roman"/>
          <w:sz w:val="22"/>
          <w:szCs w:val="22"/>
        </w:rPr>
        <w:t xml:space="preserve"> p.1.</w:t>
      </w:r>
    </w:p>
  </w:footnote>
  <w:footnote w:id="33">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085184" w:rsidRPr="004005B3">
        <w:rPr>
          <w:rFonts w:ascii="Times New Roman" w:hAnsi="Times New Roman"/>
          <w:sz w:val="22"/>
          <w:szCs w:val="22"/>
        </w:rPr>
        <w:tab/>
      </w:r>
      <w:r w:rsidRPr="004005B3">
        <w:rPr>
          <w:rFonts w:ascii="Times New Roman" w:hAnsi="Times New Roman"/>
          <w:sz w:val="22"/>
          <w:szCs w:val="22"/>
        </w:rPr>
        <w:t>See Personal Income Tax Decree,</w:t>
      </w:r>
      <w:r w:rsidR="007C75C5" w:rsidRPr="004005B3">
        <w:rPr>
          <w:rFonts w:ascii="Times New Roman" w:hAnsi="Times New Roman"/>
          <w:sz w:val="22"/>
          <w:szCs w:val="22"/>
        </w:rPr>
        <w:t xml:space="preserve"> </w:t>
      </w:r>
      <w:r w:rsidRPr="004005B3">
        <w:rPr>
          <w:rFonts w:ascii="Times New Roman" w:hAnsi="Times New Roman"/>
          <w:sz w:val="22"/>
          <w:szCs w:val="22"/>
        </w:rPr>
        <w:t>1993, s.36</w:t>
      </w:r>
      <w:r w:rsidR="007C75C5" w:rsidRPr="004005B3">
        <w:rPr>
          <w:rFonts w:ascii="Times New Roman" w:hAnsi="Times New Roman"/>
          <w:sz w:val="22"/>
          <w:szCs w:val="22"/>
        </w:rPr>
        <w:t xml:space="preserve"> (2)</w:t>
      </w:r>
      <w:r w:rsidRPr="004005B3">
        <w:rPr>
          <w:rFonts w:ascii="Times New Roman" w:hAnsi="Times New Roman"/>
          <w:sz w:val="22"/>
          <w:szCs w:val="22"/>
        </w:rPr>
        <w:t>(b)</w:t>
      </w:r>
      <w:r w:rsidR="007C75C5" w:rsidRPr="004005B3">
        <w:rPr>
          <w:rFonts w:ascii="Times New Roman" w:hAnsi="Times New Roman"/>
          <w:sz w:val="22"/>
          <w:szCs w:val="22"/>
        </w:rPr>
        <w:t xml:space="preserve">(iv) </w:t>
      </w:r>
      <w:r w:rsidRPr="004005B3">
        <w:rPr>
          <w:rFonts w:ascii="Times New Roman" w:hAnsi="Times New Roman"/>
          <w:sz w:val="22"/>
          <w:szCs w:val="22"/>
        </w:rPr>
        <w:t xml:space="preserve">and Companies Income Tax Act (CITA), </w:t>
      </w:r>
      <w:r w:rsidRPr="004005B3">
        <w:rPr>
          <w:rFonts w:ascii="Times New Roman" w:hAnsi="Times New Roman"/>
          <w:i/>
          <w:sz w:val="22"/>
          <w:szCs w:val="22"/>
        </w:rPr>
        <w:t>Cap 60,</w:t>
      </w:r>
      <w:r w:rsidRPr="004005B3">
        <w:rPr>
          <w:rFonts w:ascii="Times New Roman" w:hAnsi="Times New Roman"/>
          <w:sz w:val="22"/>
          <w:szCs w:val="22"/>
        </w:rPr>
        <w:t xml:space="preserve"> </w:t>
      </w:r>
      <w:r w:rsidRPr="004005B3">
        <w:rPr>
          <w:rFonts w:ascii="Times New Roman" w:hAnsi="Times New Roman"/>
          <w:i/>
          <w:sz w:val="22"/>
          <w:szCs w:val="22"/>
        </w:rPr>
        <w:t xml:space="preserve">Laws of the Federation of Nigeria, </w:t>
      </w:r>
      <w:r w:rsidRPr="004005B3">
        <w:rPr>
          <w:rFonts w:ascii="Times New Roman" w:hAnsi="Times New Roman"/>
          <w:sz w:val="22"/>
          <w:szCs w:val="22"/>
        </w:rPr>
        <w:t xml:space="preserve">1990, s. 27(2)(a)(11)  now Companies Income Tax Act (CITA), </w:t>
      </w:r>
      <w:r w:rsidRPr="004005B3">
        <w:rPr>
          <w:rFonts w:ascii="Times New Roman" w:hAnsi="Times New Roman"/>
          <w:i/>
          <w:sz w:val="22"/>
          <w:szCs w:val="22"/>
        </w:rPr>
        <w:t>Cap 21,</w:t>
      </w:r>
      <w:r w:rsidRPr="004005B3">
        <w:rPr>
          <w:rFonts w:ascii="Times New Roman" w:hAnsi="Times New Roman"/>
          <w:sz w:val="22"/>
          <w:szCs w:val="22"/>
        </w:rPr>
        <w:t xml:space="preserve"> </w:t>
      </w:r>
      <w:r w:rsidRPr="004005B3">
        <w:rPr>
          <w:rFonts w:ascii="Times New Roman" w:hAnsi="Times New Roman"/>
          <w:i/>
          <w:sz w:val="22"/>
          <w:szCs w:val="22"/>
        </w:rPr>
        <w:t>Laws of the Federation of Nigeria</w:t>
      </w:r>
      <w:r w:rsidRPr="004005B3">
        <w:rPr>
          <w:rFonts w:ascii="Times New Roman" w:hAnsi="Times New Roman"/>
          <w:sz w:val="22"/>
          <w:szCs w:val="22"/>
        </w:rPr>
        <w:t xml:space="preserve"> 2004, s. 29(1)(a)(2).</w:t>
      </w:r>
    </w:p>
  </w:footnote>
  <w:footnote w:id="34">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1B5034" w:rsidRPr="004005B3">
        <w:rPr>
          <w:rFonts w:ascii="Times New Roman" w:hAnsi="Times New Roman"/>
          <w:sz w:val="22"/>
          <w:szCs w:val="22"/>
        </w:rPr>
        <w:tab/>
      </w:r>
      <w:r w:rsidRPr="004005B3">
        <w:rPr>
          <w:rFonts w:ascii="Times New Roman" w:hAnsi="Times New Roman"/>
          <w:sz w:val="22"/>
          <w:szCs w:val="22"/>
        </w:rPr>
        <w:t>Abdulrazaq above note 25</w:t>
      </w:r>
      <w:r w:rsidR="001B5034" w:rsidRPr="004005B3">
        <w:rPr>
          <w:rFonts w:ascii="Times New Roman" w:hAnsi="Times New Roman"/>
          <w:sz w:val="22"/>
          <w:szCs w:val="22"/>
        </w:rPr>
        <w:t xml:space="preserve"> at</w:t>
      </w:r>
      <w:r w:rsidRPr="004005B3">
        <w:rPr>
          <w:rFonts w:ascii="Times New Roman" w:hAnsi="Times New Roman"/>
          <w:sz w:val="22"/>
          <w:szCs w:val="22"/>
        </w:rPr>
        <w:t xml:space="preserve"> p.</w:t>
      </w:r>
      <w:r w:rsidR="001B5034" w:rsidRPr="004005B3">
        <w:rPr>
          <w:rFonts w:ascii="Times New Roman" w:hAnsi="Times New Roman"/>
          <w:sz w:val="22"/>
          <w:szCs w:val="22"/>
        </w:rPr>
        <w:t xml:space="preserve"> </w:t>
      </w:r>
      <w:r w:rsidRPr="004005B3">
        <w:rPr>
          <w:rFonts w:ascii="Times New Roman" w:hAnsi="Times New Roman"/>
          <w:sz w:val="22"/>
          <w:szCs w:val="22"/>
        </w:rPr>
        <w:t>56.</w:t>
      </w:r>
    </w:p>
  </w:footnote>
  <w:footnote w:id="35">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1B5034" w:rsidRPr="004005B3">
        <w:rPr>
          <w:rFonts w:ascii="Times New Roman" w:hAnsi="Times New Roman"/>
          <w:sz w:val="22"/>
          <w:szCs w:val="22"/>
        </w:rPr>
        <w:tab/>
      </w:r>
      <w:r w:rsidRPr="004005B3">
        <w:rPr>
          <w:rFonts w:ascii="Times New Roman" w:hAnsi="Times New Roman"/>
          <w:sz w:val="22"/>
          <w:szCs w:val="22"/>
        </w:rPr>
        <w:t>By Companies Income Tax (CITA),</w:t>
      </w:r>
      <w:r w:rsidRPr="004005B3">
        <w:rPr>
          <w:rFonts w:ascii="Times New Roman" w:hAnsi="Times New Roman"/>
          <w:i/>
          <w:sz w:val="22"/>
          <w:szCs w:val="22"/>
        </w:rPr>
        <w:t xml:space="preserve"> Cap C21 Laws of the Federation of Nigeria </w:t>
      </w:r>
      <w:r w:rsidRPr="004005B3">
        <w:rPr>
          <w:rFonts w:ascii="Times New Roman" w:hAnsi="Times New Roman"/>
          <w:sz w:val="22"/>
          <w:szCs w:val="22"/>
        </w:rPr>
        <w:t>2004, s.</w:t>
      </w:r>
      <w:r w:rsidR="001B5034" w:rsidRPr="004005B3">
        <w:rPr>
          <w:rFonts w:ascii="Times New Roman" w:hAnsi="Times New Roman"/>
          <w:sz w:val="22"/>
          <w:szCs w:val="22"/>
        </w:rPr>
        <w:t xml:space="preserve"> </w:t>
      </w:r>
      <w:r w:rsidRPr="004005B3">
        <w:rPr>
          <w:rFonts w:ascii="Times New Roman" w:hAnsi="Times New Roman"/>
          <w:sz w:val="22"/>
          <w:szCs w:val="22"/>
        </w:rPr>
        <w:t>24</w:t>
      </w:r>
    </w:p>
  </w:footnote>
  <w:footnote w:id="36">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1B5034" w:rsidRPr="004005B3">
        <w:rPr>
          <w:rFonts w:ascii="Times New Roman" w:hAnsi="Times New Roman"/>
          <w:sz w:val="22"/>
          <w:szCs w:val="22"/>
        </w:rPr>
        <w:tab/>
      </w:r>
      <w:r w:rsidRPr="004005B3">
        <w:rPr>
          <w:rFonts w:ascii="Times New Roman" w:hAnsi="Times New Roman"/>
          <w:sz w:val="22"/>
          <w:szCs w:val="22"/>
        </w:rPr>
        <w:t>Abdulrazaq above note 25</w:t>
      </w:r>
      <w:r w:rsidR="001B5034" w:rsidRPr="004005B3">
        <w:rPr>
          <w:rFonts w:ascii="Times New Roman" w:hAnsi="Times New Roman"/>
          <w:sz w:val="22"/>
          <w:szCs w:val="22"/>
        </w:rPr>
        <w:t xml:space="preserve"> at</w:t>
      </w:r>
      <w:r w:rsidRPr="004005B3">
        <w:rPr>
          <w:rFonts w:ascii="Times New Roman" w:hAnsi="Times New Roman"/>
          <w:sz w:val="22"/>
          <w:szCs w:val="22"/>
        </w:rPr>
        <w:t xml:space="preserve"> p.</w:t>
      </w:r>
      <w:r w:rsidR="001B5034" w:rsidRPr="004005B3">
        <w:rPr>
          <w:rFonts w:ascii="Times New Roman" w:hAnsi="Times New Roman"/>
          <w:sz w:val="22"/>
          <w:szCs w:val="22"/>
        </w:rPr>
        <w:t xml:space="preserve"> </w:t>
      </w:r>
      <w:r w:rsidRPr="004005B3">
        <w:rPr>
          <w:rFonts w:ascii="Times New Roman" w:hAnsi="Times New Roman"/>
          <w:sz w:val="22"/>
          <w:szCs w:val="22"/>
        </w:rPr>
        <w:t>59.</w:t>
      </w:r>
    </w:p>
  </w:footnote>
  <w:footnote w:id="37">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1B5034" w:rsidRPr="004005B3">
        <w:rPr>
          <w:rFonts w:ascii="Times New Roman" w:hAnsi="Times New Roman"/>
          <w:sz w:val="22"/>
          <w:szCs w:val="22"/>
        </w:rPr>
        <w:tab/>
      </w:r>
      <w:r w:rsidRPr="004005B3">
        <w:rPr>
          <w:rFonts w:ascii="Times New Roman" w:hAnsi="Times New Roman"/>
          <w:sz w:val="22"/>
          <w:szCs w:val="22"/>
        </w:rPr>
        <w:t>(1925) 9 T.e 319.</w:t>
      </w:r>
    </w:p>
  </w:footnote>
  <w:footnote w:id="38">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1B5034" w:rsidRPr="004005B3">
        <w:rPr>
          <w:rFonts w:ascii="Times New Roman" w:hAnsi="Times New Roman"/>
          <w:sz w:val="22"/>
          <w:szCs w:val="22"/>
        </w:rPr>
        <w:tab/>
      </w:r>
      <w:r w:rsidRPr="004005B3">
        <w:rPr>
          <w:rFonts w:ascii="Times New Roman" w:hAnsi="Times New Roman"/>
          <w:sz w:val="22"/>
          <w:szCs w:val="22"/>
        </w:rPr>
        <w:t xml:space="preserve">M.T. Abdulrazaq, </w:t>
      </w:r>
      <w:r w:rsidRPr="004005B3">
        <w:rPr>
          <w:rFonts w:ascii="Times New Roman" w:hAnsi="Times New Roman"/>
          <w:i/>
          <w:sz w:val="22"/>
          <w:szCs w:val="22"/>
        </w:rPr>
        <w:t>Principles and Practice of Nigerian Tax Planning and Management</w:t>
      </w:r>
      <w:r w:rsidRPr="004005B3">
        <w:rPr>
          <w:rFonts w:ascii="Times New Roman" w:hAnsi="Times New Roman"/>
          <w:sz w:val="22"/>
          <w:szCs w:val="22"/>
        </w:rPr>
        <w:t>,</w:t>
      </w:r>
      <w:r w:rsidR="001B5034" w:rsidRPr="004005B3">
        <w:rPr>
          <w:rFonts w:ascii="Times New Roman" w:hAnsi="Times New Roman"/>
          <w:sz w:val="22"/>
          <w:szCs w:val="22"/>
        </w:rPr>
        <w:t xml:space="preserve"> </w:t>
      </w:r>
      <w:r w:rsidRPr="004005B3">
        <w:rPr>
          <w:rFonts w:ascii="Times New Roman" w:hAnsi="Times New Roman"/>
          <w:sz w:val="22"/>
          <w:szCs w:val="22"/>
        </w:rPr>
        <w:t>(Batay Law Publication Ltd, 1993), p.</w:t>
      </w:r>
      <w:r w:rsidR="007147FB" w:rsidRPr="004005B3">
        <w:rPr>
          <w:rFonts w:ascii="Times New Roman" w:hAnsi="Times New Roman"/>
          <w:sz w:val="22"/>
          <w:szCs w:val="22"/>
        </w:rPr>
        <w:t xml:space="preserve"> </w:t>
      </w:r>
      <w:r w:rsidRPr="004005B3">
        <w:rPr>
          <w:rFonts w:ascii="Times New Roman" w:hAnsi="Times New Roman"/>
          <w:sz w:val="22"/>
          <w:szCs w:val="22"/>
        </w:rPr>
        <w:t>62.</w:t>
      </w:r>
    </w:p>
  </w:footnote>
  <w:footnote w:id="39">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F650A3" w:rsidRPr="004005B3">
        <w:rPr>
          <w:rFonts w:ascii="Times New Roman" w:hAnsi="Times New Roman"/>
          <w:sz w:val="22"/>
          <w:szCs w:val="22"/>
        </w:rPr>
        <w:tab/>
      </w:r>
      <w:r w:rsidRPr="004005B3">
        <w:rPr>
          <w:rFonts w:ascii="Times New Roman" w:hAnsi="Times New Roman"/>
          <w:sz w:val="22"/>
          <w:szCs w:val="22"/>
        </w:rPr>
        <w:t xml:space="preserve">In </w:t>
      </w:r>
      <w:r w:rsidRPr="004005B3">
        <w:rPr>
          <w:rFonts w:ascii="Times New Roman" w:hAnsi="Times New Roman"/>
          <w:i/>
          <w:sz w:val="22"/>
          <w:szCs w:val="22"/>
        </w:rPr>
        <w:t>The Punch</w:t>
      </w:r>
      <w:r w:rsidRPr="004005B3">
        <w:rPr>
          <w:rFonts w:ascii="Times New Roman" w:hAnsi="Times New Roman"/>
          <w:sz w:val="22"/>
          <w:szCs w:val="22"/>
        </w:rPr>
        <w:t xml:space="preserve"> Newspaper (Nigeria), </w:t>
      </w:r>
      <w:r w:rsidR="00F650A3" w:rsidRPr="004005B3">
        <w:rPr>
          <w:rFonts w:ascii="Times New Roman" w:hAnsi="Times New Roman"/>
          <w:sz w:val="22"/>
          <w:szCs w:val="22"/>
        </w:rPr>
        <w:t>March</w:t>
      </w:r>
      <w:r w:rsidRPr="004005B3">
        <w:rPr>
          <w:rFonts w:ascii="Times New Roman" w:hAnsi="Times New Roman"/>
          <w:sz w:val="22"/>
          <w:szCs w:val="22"/>
        </w:rPr>
        <w:t xml:space="preserve"> 31, 2011, p.</w:t>
      </w:r>
      <w:r w:rsidR="00F650A3" w:rsidRPr="004005B3">
        <w:rPr>
          <w:rFonts w:ascii="Times New Roman" w:hAnsi="Times New Roman"/>
          <w:sz w:val="22"/>
          <w:szCs w:val="22"/>
        </w:rPr>
        <w:t xml:space="preserve"> </w:t>
      </w:r>
      <w:r w:rsidRPr="004005B3">
        <w:rPr>
          <w:rFonts w:ascii="Times New Roman" w:hAnsi="Times New Roman"/>
          <w:sz w:val="22"/>
          <w:szCs w:val="22"/>
        </w:rPr>
        <w:t>19, however, as at November 2011, the total bad loans bought by AMCON has risen to N3.</w:t>
      </w:r>
      <w:r w:rsidR="00F650A3" w:rsidRPr="004005B3">
        <w:rPr>
          <w:rFonts w:ascii="Times New Roman" w:hAnsi="Times New Roman"/>
          <w:sz w:val="22"/>
          <w:szCs w:val="22"/>
        </w:rPr>
        <w:t xml:space="preserve"> </w:t>
      </w:r>
      <w:r w:rsidRPr="004005B3">
        <w:rPr>
          <w:rFonts w:ascii="Times New Roman" w:hAnsi="Times New Roman"/>
          <w:sz w:val="22"/>
          <w:szCs w:val="22"/>
        </w:rPr>
        <w:t xml:space="preserve">14 trillion. See </w:t>
      </w:r>
      <w:r w:rsidRPr="004005B3">
        <w:rPr>
          <w:rFonts w:ascii="Times New Roman" w:hAnsi="Times New Roman"/>
          <w:i/>
          <w:sz w:val="22"/>
          <w:szCs w:val="22"/>
        </w:rPr>
        <w:t>Nigerian Tribune</w:t>
      </w:r>
      <w:r w:rsidRPr="004005B3">
        <w:rPr>
          <w:rFonts w:ascii="Times New Roman" w:hAnsi="Times New Roman"/>
          <w:sz w:val="22"/>
          <w:szCs w:val="22"/>
        </w:rPr>
        <w:t xml:space="preserve"> (Nigeria) and </w:t>
      </w:r>
      <w:r w:rsidRPr="004005B3">
        <w:rPr>
          <w:rFonts w:ascii="Times New Roman" w:hAnsi="Times New Roman"/>
          <w:i/>
          <w:sz w:val="22"/>
          <w:szCs w:val="22"/>
        </w:rPr>
        <w:t>The Sun</w:t>
      </w:r>
      <w:r w:rsidRPr="004005B3">
        <w:rPr>
          <w:rFonts w:ascii="Times New Roman" w:hAnsi="Times New Roman"/>
          <w:sz w:val="22"/>
          <w:szCs w:val="22"/>
        </w:rPr>
        <w:t xml:space="preserve"> Newspapers (Nigeria) of November 29, 2011.</w:t>
      </w:r>
    </w:p>
  </w:footnote>
  <w:footnote w:id="40">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F650A3" w:rsidRPr="004005B3">
        <w:rPr>
          <w:rFonts w:ascii="Times New Roman" w:hAnsi="Times New Roman"/>
          <w:sz w:val="22"/>
          <w:szCs w:val="22"/>
        </w:rPr>
        <w:tab/>
      </w:r>
      <w:r w:rsidRPr="004005B3">
        <w:rPr>
          <w:rFonts w:ascii="Times New Roman" w:hAnsi="Times New Roman"/>
          <w:sz w:val="22"/>
          <w:szCs w:val="22"/>
        </w:rPr>
        <w:t xml:space="preserve">P.G.W. Willoughby &amp; H.A. Brian </w:t>
      </w:r>
      <w:r w:rsidRPr="004005B3">
        <w:rPr>
          <w:rFonts w:ascii="Times New Roman" w:hAnsi="Times New Roman"/>
          <w:i/>
          <w:sz w:val="22"/>
          <w:szCs w:val="22"/>
        </w:rPr>
        <w:t>Guide to Income Tax and Capital Gain Tax</w:t>
      </w:r>
      <w:r w:rsidRPr="004005B3">
        <w:rPr>
          <w:rFonts w:ascii="Times New Roman" w:hAnsi="Times New Roman"/>
          <w:sz w:val="22"/>
          <w:szCs w:val="22"/>
        </w:rPr>
        <w:t xml:space="preserve"> (Sweet &amp; Mazwell,1969), pp.</w:t>
      </w:r>
      <w:r w:rsidR="00F650A3" w:rsidRPr="004005B3">
        <w:rPr>
          <w:rFonts w:ascii="Times New Roman" w:hAnsi="Times New Roman"/>
          <w:sz w:val="22"/>
          <w:szCs w:val="22"/>
        </w:rPr>
        <w:t xml:space="preserve"> </w:t>
      </w:r>
      <w:r w:rsidRPr="004005B3">
        <w:rPr>
          <w:rFonts w:ascii="Times New Roman" w:hAnsi="Times New Roman"/>
          <w:sz w:val="22"/>
          <w:szCs w:val="22"/>
        </w:rPr>
        <w:t>34-35. See also, Abdulrazaq, above note 25</w:t>
      </w:r>
      <w:r w:rsidR="00F650A3" w:rsidRPr="004005B3">
        <w:rPr>
          <w:rFonts w:ascii="Times New Roman" w:hAnsi="Times New Roman"/>
          <w:sz w:val="22"/>
          <w:szCs w:val="22"/>
        </w:rPr>
        <w:t xml:space="preserve"> at</w:t>
      </w:r>
      <w:r w:rsidRPr="004005B3">
        <w:rPr>
          <w:rFonts w:ascii="Times New Roman" w:hAnsi="Times New Roman"/>
          <w:sz w:val="22"/>
          <w:szCs w:val="22"/>
        </w:rPr>
        <w:t xml:space="preserve"> p.</w:t>
      </w:r>
      <w:r w:rsidR="00F650A3" w:rsidRPr="004005B3">
        <w:rPr>
          <w:rFonts w:ascii="Times New Roman" w:hAnsi="Times New Roman"/>
          <w:sz w:val="22"/>
          <w:szCs w:val="22"/>
        </w:rPr>
        <w:t xml:space="preserve"> </w:t>
      </w:r>
      <w:r w:rsidRPr="004005B3">
        <w:rPr>
          <w:rFonts w:ascii="Times New Roman" w:hAnsi="Times New Roman"/>
          <w:sz w:val="22"/>
          <w:szCs w:val="22"/>
        </w:rPr>
        <w:t>1.</w:t>
      </w:r>
    </w:p>
  </w:footnote>
  <w:footnote w:id="41">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F650A3" w:rsidRPr="004005B3">
        <w:rPr>
          <w:rFonts w:ascii="Times New Roman" w:hAnsi="Times New Roman"/>
          <w:sz w:val="22"/>
          <w:szCs w:val="22"/>
        </w:rPr>
        <w:tab/>
      </w:r>
      <w:r w:rsidRPr="004005B3">
        <w:rPr>
          <w:rFonts w:ascii="Times New Roman" w:hAnsi="Times New Roman"/>
          <w:sz w:val="22"/>
          <w:szCs w:val="22"/>
        </w:rPr>
        <w:t>Lekan, &amp; Sunday, above note 24</w:t>
      </w:r>
      <w:r w:rsidR="00F650A3" w:rsidRPr="004005B3">
        <w:rPr>
          <w:rFonts w:ascii="Times New Roman" w:hAnsi="Times New Roman"/>
          <w:sz w:val="22"/>
          <w:szCs w:val="22"/>
        </w:rPr>
        <w:t xml:space="preserve"> at p. </w:t>
      </w:r>
      <w:r w:rsidRPr="004005B3">
        <w:rPr>
          <w:rFonts w:ascii="Times New Roman" w:hAnsi="Times New Roman"/>
          <w:sz w:val="22"/>
          <w:szCs w:val="22"/>
        </w:rPr>
        <w:t>291.</w:t>
      </w:r>
    </w:p>
  </w:footnote>
  <w:footnote w:id="42">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F650A3" w:rsidRPr="004005B3">
        <w:rPr>
          <w:rFonts w:ascii="Times New Roman" w:hAnsi="Times New Roman"/>
          <w:sz w:val="22"/>
          <w:szCs w:val="22"/>
        </w:rPr>
        <w:tab/>
      </w:r>
      <w:r w:rsidRPr="004005B3">
        <w:rPr>
          <w:rFonts w:ascii="Times New Roman" w:hAnsi="Times New Roman"/>
          <w:sz w:val="22"/>
          <w:szCs w:val="22"/>
        </w:rPr>
        <w:t>M.S. Emil, “The Tax Treatment of Bank Loan Losses”.</w:t>
      </w:r>
      <w:r w:rsidRPr="004005B3">
        <w:rPr>
          <w:rFonts w:ascii="Times New Roman" w:hAnsi="Times New Roman"/>
          <w:i/>
          <w:sz w:val="22"/>
          <w:szCs w:val="22"/>
        </w:rPr>
        <w:t xml:space="preserve"> &lt;</w:t>
      </w:r>
      <w:hyperlink r:id="rId2" w:history="1">
        <w:r w:rsidRPr="004005B3">
          <w:rPr>
            <w:rStyle w:val="Hyperlink"/>
            <w:rFonts w:ascii="Times New Roman" w:hAnsi="Times New Roman"/>
            <w:color w:val="auto"/>
            <w:sz w:val="22"/>
            <w:szCs w:val="22"/>
            <w:u w:val="none"/>
          </w:rPr>
          <w:t>http://siteresources.worldbank.org/INTFR/Resources/Sunley_BadDebts.pdf&gt;.</w:t>
        </w:r>
      </w:hyperlink>
      <w:r w:rsidRPr="004005B3">
        <w:rPr>
          <w:rFonts w:ascii="Times New Roman" w:hAnsi="Times New Roman"/>
          <w:sz w:val="22"/>
          <w:szCs w:val="22"/>
        </w:rPr>
        <w:t>accessed on March 16, 2011, p.</w:t>
      </w:r>
      <w:r w:rsidR="00F650A3" w:rsidRPr="004005B3">
        <w:rPr>
          <w:rFonts w:ascii="Times New Roman" w:hAnsi="Times New Roman"/>
          <w:sz w:val="22"/>
          <w:szCs w:val="22"/>
        </w:rPr>
        <w:t xml:space="preserve"> </w:t>
      </w:r>
      <w:r w:rsidRPr="004005B3">
        <w:rPr>
          <w:rFonts w:ascii="Times New Roman" w:hAnsi="Times New Roman"/>
          <w:sz w:val="22"/>
          <w:szCs w:val="22"/>
        </w:rPr>
        <w:t>1</w:t>
      </w:r>
      <w:r w:rsidR="00F650A3" w:rsidRPr="004005B3">
        <w:rPr>
          <w:rFonts w:ascii="Times New Roman" w:hAnsi="Times New Roman"/>
          <w:sz w:val="22"/>
          <w:szCs w:val="22"/>
        </w:rPr>
        <w:t>.</w:t>
      </w:r>
      <w:r w:rsidRPr="004005B3">
        <w:rPr>
          <w:rFonts w:ascii="Times New Roman" w:hAnsi="Times New Roman"/>
          <w:sz w:val="22"/>
          <w:szCs w:val="22"/>
        </w:rPr>
        <w:t xml:space="preserve">  </w:t>
      </w:r>
    </w:p>
  </w:footnote>
  <w:footnote w:id="43">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F650A3" w:rsidRPr="004005B3">
        <w:rPr>
          <w:rFonts w:ascii="Times New Roman" w:hAnsi="Times New Roman"/>
          <w:sz w:val="22"/>
          <w:szCs w:val="22"/>
        </w:rPr>
        <w:tab/>
      </w:r>
      <w:r w:rsidRPr="004005B3">
        <w:rPr>
          <w:rFonts w:ascii="Times New Roman" w:hAnsi="Times New Roman"/>
          <w:i/>
          <w:sz w:val="22"/>
          <w:szCs w:val="22"/>
        </w:rPr>
        <w:t>Ibid</w:t>
      </w:r>
      <w:r w:rsidRPr="004005B3">
        <w:rPr>
          <w:rFonts w:ascii="Times New Roman" w:hAnsi="Times New Roman"/>
          <w:sz w:val="22"/>
          <w:szCs w:val="22"/>
        </w:rPr>
        <w:t>. p.</w:t>
      </w:r>
      <w:r w:rsidR="00F650A3" w:rsidRPr="004005B3">
        <w:rPr>
          <w:rFonts w:ascii="Times New Roman" w:hAnsi="Times New Roman"/>
          <w:sz w:val="22"/>
          <w:szCs w:val="22"/>
        </w:rPr>
        <w:t xml:space="preserve"> </w:t>
      </w:r>
      <w:r w:rsidRPr="004005B3">
        <w:rPr>
          <w:rFonts w:ascii="Times New Roman" w:hAnsi="Times New Roman"/>
          <w:sz w:val="22"/>
          <w:szCs w:val="22"/>
        </w:rPr>
        <w:t>2.</w:t>
      </w:r>
    </w:p>
  </w:footnote>
  <w:footnote w:id="44">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F650A3" w:rsidRPr="004005B3">
        <w:rPr>
          <w:rFonts w:ascii="Times New Roman" w:hAnsi="Times New Roman"/>
          <w:sz w:val="22"/>
          <w:szCs w:val="22"/>
        </w:rPr>
        <w:tab/>
      </w:r>
      <w:r w:rsidRPr="004005B3">
        <w:rPr>
          <w:rFonts w:ascii="Times New Roman" w:hAnsi="Times New Roman"/>
          <w:i/>
          <w:sz w:val="22"/>
          <w:szCs w:val="22"/>
        </w:rPr>
        <w:t>Ibid</w:t>
      </w:r>
      <w:r w:rsidRPr="004005B3">
        <w:rPr>
          <w:rFonts w:ascii="Times New Roman" w:hAnsi="Times New Roman"/>
          <w:sz w:val="22"/>
          <w:szCs w:val="22"/>
        </w:rPr>
        <w:t>, p.</w:t>
      </w:r>
      <w:r w:rsidR="00F650A3" w:rsidRPr="004005B3">
        <w:rPr>
          <w:rFonts w:ascii="Times New Roman" w:hAnsi="Times New Roman"/>
          <w:sz w:val="22"/>
          <w:szCs w:val="22"/>
        </w:rPr>
        <w:t xml:space="preserve"> </w:t>
      </w:r>
      <w:r w:rsidRPr="004005B3">
        <w:rPr>
          <w:rFonts w:ascii="Times New Roman" w:hAnsi="Times New Roman"/>
          <w:sz w:val="22"/>
          <w:szCs w:val="22"/>
        </w:rPr>
        <w:t>1</w:t>
      </w:r>
      <w:r w:rsidR="00F650A3" w:rsidRPr="004005B3">
        <w:rPr>
          <w:rFonts w:ascii="Times New Roman" w:hAnsi="Times New Roman"/>
          <w:sz w:val="22"/>
          <w:szCs w:val="22"/>
        </w:rPr>
        <w:t>.</w:t>
      </w:r>
    </w:p>
  </w:footnote>
  <w:footnote w:id="45">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F650A3" w:rsidRPr="004005B3">
        <w:rPr>
          <w:rFonts w:ascii="Times New Roman" w:hAnsi="Times New Roman"/>
          <w:sz w:val="22"/>
          <w:szCs w:val="22"/>
        </w:rPr>
        <w:tab/>
      </w:r>
      <w:r w:rsidRPr="004005B3">
        <w:rPr>
          <w:rFonts w:ascii="Times New Roman" w:hAnsi="Times New Roman"/>
          <w:sz w:val="22"/>
          <w:szCs w:val="22"/>
        </w:rPr>
        <w:t>Abdulrazaq, above note 26</w:t>
      </w:r>
      <w:r w:rsidR="00F650A3" w:rsidRPr="004005B3">
        <w:rPr>
          <w:rFonts w:ascii="Times New Roman" w:hAnsi="Times New Roman"/>
          <w:sz w:val="22"/>
          <w:szCs w:val="22"/>
        </w:rPr>
        <w:t xml:space="preserve"> at</w:t>
      </w:r>
      <w:r w:rsidRPr="004005B3">
        <w:rPr>
          <w:rFonts w:ascii="Times New Roman" w:hAnsi="Times New Roman"/>
          <w:sz w:val="22"/>
          <w:szCs w:val="22"/>
        </w:rPr>
        <w:t xml:space="preserve"> p.</w:t>
      </w:r>
      <w:r w:rsidR="00F650A3" w:rsidRPr="004005B3">
        <w:rPr>
          <w:rFonts w:ascii="Times New Roman" w:hAnsi="Times New Roman"/>
          <w:sz w:val="22"/>
          <w:szCs w:val="22"/>
        </w:rPr>
        <w:t xml:space="preserve"> </w:t>
      </w:r>
      <w:r w:rsidRPr="004005B3">
        <w:rPr>
          <w:rFonts w:ascii="Times New Roman" w:hAnsi="Times New Roman"/>
          <w:sz w:val="22"/>
          <w:szCs w:val="22"/>
        </w:rPr>
        <w:t>60.</w:t>
      </w:r>
    </w:p>
  </w:footnote>
  <w:footnote w:id="46">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F650A3" w:rsidRPr="004005B3">
        <w:rPr>
          <w:rFonts w:ascii="Times New Roman" w:hAnsi="Times New Roman"/>
          <w:sz w:val="22"/>
          <w:szCs w:val="22"/>
        </w:rPr>
        <w:tab/>
      </w:r>
      <w:r w:rsidRPr="004005B3">
        <w:rPr>
          <w:rFonts w:ascii="Times New Roman" w:hAnsi="Times New Roman"/>
          <w:sz w:val="22"/>
          <w:szCs w:val="22"/>
        </w:rPr>
        <w:t>Abdulrazaq, above note 25</w:t>
      </w:r>
      <w:r w:rsidR="00F650A3" w:rsidRPr="004005B3">
        <w:rPr>
          <w:rFonts w:ascii="Times New Roman" w:hAnsi="Times New Roman"/>
          <w:sz w:val="22"/>
          <w:szCs w:val="22"/>
        </w:rPr>
        <w:t xml:space="preserve"> at</w:t>
      </w:r>
      <w:r w:rsidRPr="004005B3">
        <w:rPr>
          <w:rFonts w:ascii="Times New Roman" w:hAnsi="Times New Roman"/>
          <w:sz w:val="22"/>
          <w:szCs w:val="22"/>
        </w:rPr>
        <w:t xml:space="preserve"> p.</w:t>
      </w:r>
      <w:r w:rsidR="00F650A3" w:rsidRPr="004005B3">
        <w:rPr>
          <w:rFonts w:ascii="Times New Roman" w:hAnsi="Times New Roman"/>
          <w:sz w:val="22"/>
          <w:szCs w:val="22"/>
        </w:rPr>
        <w:t xml:space="preserve"> </w:t>
      </w:r>
      <w:r w:rsidRPr="004005B3">
        <w:rPr>
          <w:rFonts w:ascii="Times New Roman" w:hAnsi="Times New Roman"/>
          <w:sz w:val="22"/>
          <w:szCs w:val="22"/>
        </w:rPr>
        <w:t>60. See also, Christopher and Miles, above note 10</w:t>
      </w:r>
      <w:r w:rsidR="00F650A3" w:rsidRPr="004005B3">
        <w:rPr>
          <w:rFonts w:ascii="Times New Roman" w:hAnsi="Times New Roman"/>
          <w:sz w:val="22"/>
          <w:szCs w:val="22"/>
        </w:rPr>
        <w:t xml:space="preserve"> at</w:t>
      </w:r>
      <w:r w:rsidRPr="004005B3">
        <w:rPr>
          <w:rFonts w:ascii="Times New Roman" w:hAnsi="Times New Roman"/>
          <w:sz w:val="22"/>
          <w:szCs w:val="22"/>
        </w:rPr>
        <w:t xml:space="preserve"> p.</w:t>
      </w:r>
      <w:r w:rsidR="00F650A3" w:rsidRPr="004005B3">
        <w:rPr>
          <w:rFonts w:ascii="Times New Roman" w:hAnsi="Times New Roman"/>
          <w:sz w:val="22"/>
          <w:szCs w:val="22"/>
        </w:rPr>
        <w:t xml:space="preserve"> </w:t>
      </w:r>
      <w:r w:rsidRPr="004005B3">
        <w:rPr>
          <w:rFonts w:ascii="Times New Roman" w:hAnsi="Times New Roman"/>
          <w:sz w:val="22"/>
          <w:szCs w:val="22"/>
        </w:rPr>
        <w:t>44.</w:t>
      </w:r>
    </w:p>
  </w:footnote>
  <w:footnote w:id="47">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F650A3" w:rsidRPr="004005B3">
        <w:rPr>
          <w:rFonts w:ascii="Times New Roman" w:hAnsi="Times New Roman"/>
          <w:sz w:val="22"/>
          <w:szCs w:val="22"/>
        </w:rPr>
        <w:tab/>
      </w:r>
      <w:r w:rsidRPr="004005B3">
        <w:rPr>
          <w:rFonts w:ascii="Times New Roman" w:hAnsi="Times New Roman"/>
          <w:sz w:val="22"/>
          <w:szCs w:val="22"/>
        </w:rPr>
        <w:t>Emil above note 43</w:t>
      </w:r>
      <w:r w:rsidR="00F650A3" w:rsidRPr="004005B3">
        <w:rPr>
          <w:rFonts w:ascii="Times New Roman" w:hAnsi="Times New Roman"/>
          <w:sz w:val="22"/>
          <w:szCs w:val="22"/>
        </w:rPr>
        <w:t>.</w:t>
      </w:r>
    </w:p>
  </w:footnote>
  <w:footnote w:id="48">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F650A3" w:rsidRPr="004005B3">
        <w:rPr>
          <w:rFonts w:ascii="Times New Roman" w:hAnsi="Times New Roman"/>
          <w:sz w:val="22"/>
          <w:szCs w:val="22"/>
        </w:rPr>
        <w:tab/>
      </w:r>
      <w:r w:rsidR="00F650A3" w:rsidRPr="004005B3">
        <w:rPr>
          <w:rFonts w:ascii="Times New Roman" w:hAnsi="Times New Roman"/>
          <w:i/>
          <w:sz w:val="22"/>
          <w:szCs w:val="22"/>
        </w:rPr>
        <w:t>I</w:t>
      </w:r>
      <w:r w:rsidRPr="004005B3">
        <w:rPr>
          <w:rFonts w:ascii="Times New Roman" w:hAnsi="Times New Roman"/>
          <w:i/>
          <w:sz w:val="22"/>
          <w:szCs w:val="22"/>
        </w:rPr>
        <w:t>bid</w:t>
      </w:r>
      <w:r w:rsidR="00F650A3" w:rsidRPr="004005B3">
        <w:rPr>
          <w:rFonts w:ascii="Times New Roman" w:hAnsi="Times New Roman"/>
          <w:sz w:val="22"/>
          <w:szCs w:val="22"/>
        </w:rPr>
        <w:t>.</w:t>
      </w:r>
    </w:p>
  </w:footnote>
  <w:footnote w:id="49">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881BC3" w:rsidRPr="004005B3">
        <w:rPr>
          <w:rFonts w:ascii="Times New Roman" w:hAnsi="Times New Roman"/>
          <w:sz w:val="22"/>
          <w:szCs w:val="22"/>
        </w:rPr>
        <w:tab/>
      </w:r>
      <w:r w:rsidRPr="004005B3">
        <w:rPr>
          <w:rFonts w:ascii="Times New Roman" w:hAnsi="Times New Roman"/>
          <w:i/>
          <w:sz w:val="22"/>
          <w:szCs w:val="22"/>
        </w:rPr>
        <w:t xml:space="preserve">Ibid, </w:t>
      </w:r>
      <w:r w:rsidRPr="004005B3">
        <w:rPr>
          <w:rFonts w:ascii="Times New Roman" w:hAnsi="Times New Roman"/>
          <w:sz w:val="22"/>
          <w:szCs w:val="22"/>
        </w:rPr>
        <w:t>similarly, see</w:t>
      </w:r>
      <w:r w:rsidRPr="004005B3">
        <w:rPr>
          <w:rFonts w:ascii="Times New Roman" w:hAnsi="Times New Roman"/>
          <w:i/>
          <w:sz w:val="22"/>
          <w:szCs w:val="22"/>
        </w:rPr>
        <w:t xml:space="preserve"> </w:t>
      </w:r>
      <w:r w:rsidRPr="004005B3">
        <w:rPr>
          <w:rFonts w:ascii="Times New Roman" w:hAnsi="Times New Roman"/>
          <w:sz w:val="22"/>
          <w:szCs w:val="22"/>
        </w:rPr>
        <w:t xml:space="preserve">Escolano, in William, </w:t>
      </w:r>
      <w:r w:rsidR="00881BC3" w:rsidRPr="004005B3">
        <w:rPr>
          <w:rFonts w:ascii="Times New Roman" w:hAnsi="Times New Roman"/>
          <w:sz w:val="22"/>
          <w:szCs w:val="22"/>
        </w:rPr>
        <w:t xml:space="preserve">above </w:t>
      </w:r>
      <w:r w:rsidRPr="004005B3">
        <w:rPr>
          <w:rFonts w:ascii="Times New Roman" w:hAnsi="Times New Roman"/>
          <w:sz w:val="22"/>
          <w:szCs w:val="22"/>
        </w:rPr>
        <w:t>note 2, pp.</w:t>
      </w:r>
      <w:r w:rsidR="00881BC3" w:rsidRPr="004005B3">
        <w:rPr>
          <w:rFonts w:ascii="Times New Roman" w:hAnsi="Times New Roman"/>
          <w:sz w:val="22"/>
          <w:szCs w:val="22"/>
        </w:rPr>
        <w:t xml:space="preserve"> </w:t>
      </w:r>
      <w:r w:rsidRPr="004005B3">
        <w:rPr>
          <w:rFonts w:ascii="Times New Roman" w:hAnsi="Times New Roman"/>
          <w:sz w:val="22"/>
          <w:szCs w:val="22"/>
        </w:rPr>
        <w:t xml:space="preserve">144-176. See also Beattie, </w:t>
      </w:r>
      <w:r w:rsidR="00881BC3" w:rsidRPr="004005B3">
        <w:rPr>
          <w:rFonts w:ascii="Times New Roman" w:hAnsi="Times New Roman"/>
          <w:sz w:val="22"/>
          <w:szCs w:val="22"/>
        </w:rPr>
        <w:t xml:space="preserve">above </w:t>
      </w:r>
      <w:r w:rsidRPr="004005B3">
        <w:rPr>
          <w:rFonts w:ascii="Times New Roman" w:hAnsi="Times New Roman"/>
          <w:sz w:val="22"/>
          <w:szCs w:val="22"/>
        </w:rPr>
        <w:t>note 2, pp. 148-151 &amp; 156-159</w:t>
      </w:r>
      <w:r w:rsidR="00881BC3" w:rsidRPr="004005B3">
        <w:rPr>
          <w:rFonts w:ascii="Times New Roman" w:hAnsi="Times New Roman"/>
          <w:sz w:val="22"/>
          <w:szCs w:val="22"/>
        </w:rPr>
        <w:t>.</w:t>
      </w:r>
    </w:p>
  </w:footnote>
  <w:footnote w:id="50">
    <w:p w:rsidR="003453B1" w:rsidRPr="004005B3" w:rsidRDefault="003453B1" w:rsidP="003453B1">
      <w:pPr>
        <w:pStyle w:val="FootnoteText"/>
        <w:ind w:left="720" w:hanging="720"/>
        <w:jc w:val="both"/>
        <w:rPr>
          <w:rFonts w:ascii="Times New Roman" w:hAnsi="Times New Roman"/>
          <w:i/>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881BC3" w:rsidRPr="004005B3">
        <w:rPr>
          <w:rFonts w:ascii="Times New Roman" w:hAnsi="Times New Roman"/>
          <w:sz w:val="22"/>
          <w:szCs w:val="22"/>
        </w:rPr>
        <w:tab/>
      </w:r>
      <w:r w:rsidRPr="004005B3">
        <w:rPr>
          <w:rFonts w:ascii="Times New Roman" w:hAnsi="Times New Roman"/>
          <w:sz w:val="22"/>
          <w:szCs w:val="22"/>
        </w:rPr>
        <w:t>Emil, above, note 43</w:t>
      </w:r>
      <w:r w:rsidR="00881BC3" w:rsidRPr="004005B3">
        <w:rPr>
          <w:rFonts w:ascii="Times New Roman" w:hAnsi="Times New Roman"/>
          <w:sz w:val="22"/>
          <w:szCs w:val="22"/>
        </w:rPr>
        <w:t>.</w:t>
      </w:r>
    </w:p>
  </w:footnote>
  <w:footnote w:id="51">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i/>
          <w:sz w:val="22"/>
          <w:szCs w:val="22"/>
        </w:rPr>
        <w:footnoteRef/>
      </w:r>
      <w:r w:rsidRPr="004005B3">
        <w:rPr>
          <w:rFonts w:ascii="Times New Roman" w:hAnsi="Times New Roman"/>
          <w:i/>
          <w:sz w:val="22"/>
          <w:szCs w:val="22"/>
        </w:rPr>
        <w:t xml:space="preserve"> </w:t>
      </w:r>
      <w:r w:rsidR="00881BC3" w:rsidRPr="004005B3">
        <w:rPr>
          <w:rFonts w:ascii="Times New Roman" w:hAnsi="Times New Roman"/>
          <w:i/>
          <w:sz w:val="22"/>
          <w:szCs w:val="22"/>
        </w:rPr>
        <w:tab/>
      </w:r>
      <w:r w:rsidRPr="004005B3">
        <w:rPr>
          <w:rFonts w:ascii="Times New Roman" w:hAnsi="Times New Roman"/>
          <w:sz w:val="22"/>
          <w:szCs w:val="22"/>
        </w:rPr>
        <w:t xml:space="preserve">O.J. Orojo, </w:t>
      </w:r>
      <w:r w:rsidRPr="004005B3">
        <w:rPr>
          <w:rFonts w:ascii="Times New Roman" w:hAnsi="Times New Roman"/>
          <w:i/>
          <w:sz w:val="22"/>
          <w:szCs w:val="22"/>
        </w:rPr>
        <w:t>Company Tax Law in Nigeria</w:t>
      </w:r>
      <w:r w:rsidRPr="004005B3">
        <w:rPr>
          <w:rFonts w:ascii="Times New Roman" w:hAnsi="Times New Roman"/>
          <w:sz w:val="22"/>
          <w:szCs w:val="22"/>
        </w:rPr>
        <w:t>, (London: Sweet &amp; Maxwell, 1979)</w:t>
      </w:r>
      <w:r w:rsidR="00881BC3" w:rsidRPr="004005B3">
        <w:rPr>
          <w:rFonts w:ascii="Times New Roman" w:hAnsi="Times New Roman"/>
          <w:sz w:val="22"/>
          <w:szCs w:val="22"/>
        </w:rPr>
        <w:t>,</w:t>
      </w:r>
      <w:r w:rsidRPr="004005B3">
        <w:rPr>
          <w:rFonts w:ascii="Times New Roman" w:hAnsi="Times New Roman"/>
          <w:sz w:val="22"/>
          <w:szCs w:val="22"/>
        </w:rPr>
        <w:t xml:space="preserve"> p.</w:t>
      </w:r>
      <w:r w:rsidR="00881BC3" w:rsidRPr="004005B3">
        <w:rPr>
          <w:rFonts w:ascii="Times New Roman" w:hAnsi="Times New Roman"/>
          <w:sz w:val="22"/>
          <w:szCs w:val="22"/>
        </w:rPr>
        <w:t xml:space="preserve"> </w:t>
      </w:r>
      <w:r w:rsidRPr="004005B3">
        <w:rPr>
          <w:rFonts w:ascii="Times New Roman" w:hAnsi="Times New Roman"/>
          <w:sz w:val="22"/>
          <w:szCs w:val="22"/>
        </w:rPr>
        <w:t>152.</w:t>
      </w:r>
    </w:p>
  </w:footnote>
  <w:footnote w:id="52">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881BC3" w:rsidRPr="004005B3">
        <w:rPr>
          <w:rFonts w:ascii="Times New Roman" w:hAnsi="Times New Roman"/>
          <w:sz w:val="22"/>
          <w:szCs w:val="22"/>
        </w:rPr>
        <w:tab/>
      </w:r>
      <w:r w:rsidRPr="004005B3">
        <w:rPr>
          <w:rFonts w:ascii="Times New Roman" w:hAnsi="Times New Roman"/>
          <w:sz w:val="22"/>
          <w:szCs w:val="22"/>
        </w:rPr>
        <w:t>See, CBN Prudential Guidelines For Deposit Money Banks In Nigeria, May, 2010 &lt;</w:t>
      </w:r>
      <w:hyperlink r:id="rId3" w:history="1">
        <w:r w:rsidR="00881BC3" w:rsidRPr="004005B3">
          <w:rPr>
            <w:rStyle w:val="Hyperlink"/>
            <w:rFonts w:ascii="Times New Roman" w:hAnsi="Times New Roman"/>
            <w:color w:val="auto"/>
            <w:sz w:val="22"/>
            <w:szCs w:val="22"/>
            <w:u w:val="none"/>
          </w:rPr>
          <w:t>http://ndic.org.ng/files/Prudential%20 Guide lines%205% 20May%202010%20Final.pdf</w:t>
        </w:r>
      </w:hyperlink>
      <w:r w:rsidRPr="004005B3">
        <w:rPr>
          <w:rFonts w:ascii="Times New Roman" w:hAnsi="Times New Roman"/>
          <w:sz w:val="22"/>
          <w:szCs w:val="22"/>
        </w:rPr>
        <w:t>&gt; accessed on 23</w:t>
      </w:r>
      <w:r w:rsidRPr="004005B3">
        <w:rPr>
          <w:rFonts w:ascii="Times New Roman" w:hAnsi="Times New Roman"/>
          <w:sz w:val="22"/>
          <w:szCs w:val="22"/>
          <w:vertAlign w:val="superscript"/>
        </w:rPr>
        <w:t>rd</w:t>
      </w:r>
      <w:r w:rsidRPr="004005B3">
        <w:rPr>
          <w:rFonts w:ascii="Times New Roman" w:hAnsi="Times New Roman"/>
          <w:sz w:val="22"/>
          <w:szCs w:val="22"/>
        </w:rPr>
        <w:t xml:space="preserve"> May, 2014</w:t>
      </w:r>
      <w:r w:rsidR="00881BC3" w:rsidRPr="004005B3">
        <w:rPr>
          <w:rFonts w:ascii="Times New Roman" w:hAnsi="Times New Roman"/>
          <w:sz w:val="22"/>
          <w:szCs w:val="22"/>
        </w:rPr>
        <w:t>.</w:t>
      </w:r>
    </w:p>
  </w:footnote>
  <w:footnote w:id="53">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A74FBD" w:rsidRPr="004005B3">
        <w:rPr>
          <w:rFonts w:ascii="Times New Roman" w:hAnsi="Times New Roman"/>
          <w:sz w:val="22"/>
          <w:szCs w:val="22"/>
        </w:rPr>
        <w:tab/>
      </w:r>
      <w:r w:rsidRPr="004005B3">
        <w:rPr>
          <w:rFonts w:ascii="Times New Roman" w:hAnsi="Times New Roman"/>
          <w:sz w:val="22"/>
          <w:szCs w:val="22"/>
        </w:rPr>
        <w:t>Orojo, above note 48</w:t>
      </w:r>
      <w:r w:rsidR="00A74FBD" w:rsidRPr="004005B3">
        <w:rPr>
          <w:rFonts w:ascii="Times New Roman" w:hAnsi="Times New Roman"/>
          <w:sz w:val="22"/>
          <w:szCs w:val="22"/>
        </w:rPr>
        <w:t xml:space="preserve"> at</w:t>
      </w:r>
      <w:r w:rsidRPr="004005B3">
        <w:rPr>
          <w:rFonts w:ascii="Times New Roman" w:hAnsi="Times New Roman"/>
          <w:sz w:val="22"/>
          <w:szCs w:val="22"/>
        </w:rPr>
        <w:t xml:space="preserve"> p.</w:t>
      </w:r>
      <w:r w:rsidR="00A74FBD" w:rsidRPr="004005B3">
        <w:rPr>
          <w:rFonts w:ascii="Times New Roman" w:hAnsi="Times New Roman"/>
          <w:sz w:val="22"/>
          <w:szCs w:val="22"/>
        </w:rPr>
        <w:t xml:space="preserve"> </w:t>
      </w:r>
      <w:r w:rsidRPr="004005B3">
        <w:rPr>
          <w:rFonts w:ascii="Times New Roman" w:hAnsi="Times New Roman"/>
          <w:sz w:val="22"/>
          <w:szCs w:val="22"/>
        </w:rPr>
        <w:t>1.</w:t>
      </w:r>
    </w:p>
  </w:footnote>
  <w:footnote w:id="54">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A74FBD" w:rsidRPr="004005B3">
        <w:rPr>
          <w:rFonts w:ascii="Times New Roman" w:hAnsi="Times New Roman"/>
          <w:sz w:val="22"/>
          <w:szCs w:val="22"/>
        </w:rPr>
        <w:tab/>
      </w:r>
      <w:r w:rsidRPr="004005B3">
        <w:rPr>
          <w:rFonts w:ascii="Times New Roman" w:hAnsi="Times New Roman"/>
          <w:sz w:val="22"/>
          <w:szCs w:val="22"/>
        </w:rPr>
        <w:t>James, above note 29</w:t>
      </w:r>
      <w:r w:rsidR="00A74FBD" w:rsidRPr="004005B3">
        <w:rPr>
          <w:rFonts w:ascii="Times New Roman" w:hAnsi="Times New Roman"/>
          <w:sz w:val="22"/>
          <w:szCs w:val="22"/>
        </w:rPr>
        <w:t xml:space="preserve"> at</w:t>
      </w:r>
      <w:r w:rsidRPr="004005B3">
        <w:rPr>
          <w:rFonts w:ascii="Times New Roman" w:hAnsi="Times New Roman"/>
          <w:sz w:val="22"/>
          <w:szCs w:val="22"/>
        </w:rPr>
        <w:t xml:space="preserve"> p.</w:t>
      </w:r>
      <w:r w:rsidR="00A74FBD" w:rsidRPr="004005B3">
        <w:rPr>
          <w:rFonts w:ascii="Times New Roman" w:hAnsi="Times New Roman"/>
          <w:sz w:val="22"/>
          <w:szCs w:val="22"/>
        </w:rPr>
        <w:t xml:space="preserve"> </w:t>
      </w:r>
      <w:r w:rsidRPr="004005B3">
        <w:rPr>
          <w:rFonts w:ascii="Times New Roman" w:hAnsi="Times New Roman"/>
          <w:sz w:val="22"/>
          <w:szCs w:val="22"/>
        </w:rPr>
        <w:t>69.</w:t>
      </w:r>
    </w:p>
  </w:footnote>
  <w:footnote w:id="55">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A74FBD" w:rsidRPr="004005B3">
        <w:rPr>
          <w:rFonts w:ascii="Times New Roman" w:hAnsi="Times New Roman"/>
          <w:sz w:val="22"/>
          <w:szCs w:val="22"/>
        </w:rPr>
        <w:tab/>
      </w:r>
      <w:r w:rsidRPr="004005B3">
        <w:rPr>
          <w:rFonts w:ascii="Times New Roman" w:hAnsi="Times New Roman"/>
          <w:sz w:val="22"/>
          <w:szCs w:val="22"/>
        </w:rPr>
        <w:t>Companies Income Tax (CITA),</w:t>
      </w:r>
      <w:r w:rsidRPr="004005B3">
        <w:rPr>
          <w:rFonts w:ascii="Times New Roman" w:hAnsi="Times New Roman"/>
          <w:i/>
          <w:sz w:val="22"/>
          <w:szCs w:val="22"/>
        </w:rPr>
        <w:t xml:space="preserve"> Cap C21 Laws of the Federation of Nigeria </w:t>
      </w:r>
      <w:r w:rsidRPr="004005B3">
        <w:rPr>
          <w:rFonts w:ascii="Times New Roman" w:hAnsi="Times New Roman"/>
          <w:sz w:val="22"/>
          <w:szCs w:val="22"/>
        </w:rPr>
        <w:t>2004, s.</w:t>
      </w:r>
      <w:r w:rsidR="00A74FBD" w:rsidRPr="004005B3">
        <w:rPr>
          <w:rFonts w:ascii="Times New Roman" w:hAnsi="Times New Roman"/>
          <w:sz w:val="22"/>
          <w:szCs w:val="22"/>
        </w:rPr>
        <w:t xml:space="preserve"> </w:t>
      </w:r>
      <w:r w:rsidRPr="004005B3">
        <w:rPr>
          <w:rFonts w:ascii="Times New Roman" w:hAnsi="Times New Roman"/>
          <w:sz w:val="22"/>
          <w:szCs w:val="22"/>
        </w:rPr>
        <w:t>27(1)</w:t>
      </w:r>
      <w:r w:rsidR="00A74FBD" w:rsidRPr="004005B3">
        <w:rPr>
          <w:rFonts w:ascii="Times New Roman" w:hAnsi="Times New Roman"/>
          <w:sz w:val="22"/>
          <w:szCs w:val="22"/>
        </w:rPr>
        <w:t>.</w:t>
      </w:r>
    </w:p>
  </w:footnote>
  <w:footnote w:id="56">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A74FBD" w:rsidRPr="004005B3">
        <w:rPr>
          <w:rFonts w:ascii="Times New Roman" w:hAnsi="Times New Roman"/>
          <w:sz w:val="22"/>
          <w:szCs w:val="22"/>
        </w:rPr>
        <w:tab/>
      </w:r>
      <w:r w:rsidRPr="004005B3">
        <w:rPr>
          <w:rFonts w:ascii="Times New Roman" w:hAnsi="Times New Roman"/>
          <w:sz w:val="22"/>
          <w:szCs w:val="22"/>
        </w:rPr>
        <w:t>Emil, above note 41</w:t>
      </w:r>
      <w:r w:rsidR="00A74FBD" w:rsidRPr="004005B3">
        <w:rPr>
          <w:rFonts w:ascii="Times New Roman" w:hAnsi="Times New Roman"/>
          <w:sz w:val="22"/>
          <w:szCs w:val="22"/>
        </w:rPr>
        <w:t>.</w:t>
      </w:r>
    </w:p>
  </w:footnote>
  <w:footnote w:id="57">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892988" w:rsidRPr="004005B3">
        <w:rPr>
          <w:rFonts w:ascii="Times New Roman" w:hAnsi="Times New Roman"/>
          <w:sz w:val="22"/>
          <w:szCs w:val="22"/>
        </w:rPr>
        <w:tab/>
      </w:r>
      <w:r w:rsidRPr="004005B3">
        <w:rPr>
          <w:rFonts w:ascii="Times New Roman" w:hAnsi="Times New Roman"/>
          <w:sz w:val="22"/>
          <w:szCs w:val="22"/>
        </w:rPr>
        <w:t>Companies Income Tax (CITA),</w:t>
      </w:r>
      <w:r w:rsidRPr="004005B3">
        <w:rPr>
          <w:rFonts w:ascii="Times New Roman" w:hAnsi="Times New Roman"/>
          <w:i/>
          <w:sz w:val="22"/>
          <w:szCs w:val="22"/>
        </w:rPr>
        <w:t xml:space="preserve"> Cap 60 Laws of the Federation of Nigeria </w:t>
      </w:r>
      <w:r w:rsidRPr="004005B3">
        <w:rPr>
          <w:rFonts w:ascii="Times New Roman" w:hAnsi="Times New Roman"/>
          <w:sz w:val="22"/>
          <w:szCs w:val="22"/>
        </w:rPr>
        <w:t>1990, s. 27(1)  now Companies Income Tax (CITA),</w:t>
      </w:r>
      <w:r w:rsidRPr="004005B3">
        <w:rPr>
          <w:rFonts w:ascii="Times New Roman" w:hAnsi="Times New Roman"/>
          <w:i/>
          <w:sz w:val="22"/>
          <w:szCs w:val="22"/>
        </w:rPr>
        <w:t xml:space="preserve"> Cap C21 Laws of the Federation of Nigeria </w:t>
      </w:r>
      <w:r w:rsidRPr="004005B3">
        <w:rPr>
          <w:rFonts w:ascii="Times New Roman" w:hAnsi="Times New Roman"/>
          <w:sz w:val="22"/>
          <w:szCs w:val="22"/>
        </w:rPr>
        <w:t>2004, s. 29(1) See also, James, above note 29, p.</w:t>
      </w:r>
      <w:r w:rsidR="00892988" w:rsidRPr="004005B3">
        <w:rPr>
          <w:rFonts w:ascii="Times New Roman" w:hAnsi="Times New Roman"/>
          <w:sz w:val="22"/>
          <w:szCs w:val="22"/>
        </w:rPr>
        <w:t xml:space="preserve"> </w:t>
      </w:r>
      <w:r w:rsidRPr="004005B3">
        <w:rPr>
          <w:rFonts w:ascii="Times New Roman" w:hAnsi="Times New Roman"/>
          <w:sz w:val="22"/>
          <w:szCs w:val="22"/>
        </w:rPr>
        <w:t>64.</w:t>
      </w:r>
    </w:p>
  </w:footnote>
  <w:footnote w:id="58">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892988" w:rsidRPr="004005B3">
        <w:rPr>
          <w:rFonts w:ascii="Times New Roman" w:hAnsi="Times New Roman"/>
          <w:sz w:val="22"/>
          <w:szCs w:val="22"/>
        </w:rPr>
        <w:tab/>
      </w:r>
      <w:r w:rsidRPr="004005B3">
        <w:rPr>
          <w:rFonts w:ascii="Times New Roman" w:hAnsi="Times New Roman"/>
          <w:sz w:val="22"/>
          <w:szCs w:val="22"/>
        </w:rPr>
        <w:t>CITA</w:t>
      </w:r>
      <w:r w:rsidRPr="004005B3">
        <w:rPr>
          <w:rFonts w:ascii="Times New Roman" w:hAnsi="Times New Roman"/>
          <w:i/>
          <w:sz w:val="22"/>
          <w:szCs w:val="22"/>
        </w:rPr>
        <w:t xml:space="preserve">, </w:t>
      </w:r>
      <w:r w:rsidRPr="004005B3">
        <w:rPr>
          <w:rFonts w:ascii="Times New Roman" w:hAnsi="Times New Roman"/>
          <w:sz w:val="22"/>
          <w:szCs w:val="22"/>
        </w:rPr>
        <w:t>2004.</w:t>
      </w:r>
    </w:p>
  </w:footnote>
  <w:footnote w:id="59">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892988" w:rsidRPr="004005B3">
        <w:rPr>
          <w:rFonts w:ascii="Times New Roman" w:hAnsi="Times New Roman"/>
          <w:sz w:val="22"/>
          <w:szCs w:val="22"/>
        </w:rPr>
        <w:tab/>
      </w:r>
      <w:r w:rsidRPr="004005B3">
        <w:rPr>
          <w:rFonts w:ascii="Times New Roman" w:hAnsi="Times New Roman"/>
          <w:sz w:val="22"/>
          <w:szCs w:val="22"/>
        </w:rPr>
        <w:t>Emil, above note 41</w:t>
      </w:r>
      <w:r w:rsidR="00892988" w:rsidRPr="004005B3">
        <w:rPr>
          <w:rFonts w:ascii="Times New Roman" w:hAnsi="Times New Roman"/>
          <w:sz w:val="22"/>
          <w:szCs w:val="22"/>
        </w:rPr>
        <w:t xml:space="preserve"> at</w:t>
      </w:r>
      <w:r w:rsidRPr="004005B3">
        <w:rPr>
          <w:rFonts w:ascii="Times New Roman" w:hAnsi="Times New Roman"/>
          <w:sz w:val="22"/>
          <w:szCs w:val="22"/>
        </w:rPr>
        <w:t xml:space="preserve"> p.</w:t>
      </w:r>
      <w:r w:rsidR="00892988" w:rsidRPr="004005B3">
        <w:rPr>
          <w:rFonts w:ascii="Times New Roman" w:hAnsi="Times New Roman"/>
          <w:sz w:val="22"/>
          <w:szCs w:val="22"/>
        </w:rPr>
        <w:t xml:space="preserve"> </w:t>
      </w:r>
      <w:r w:rsidRPr="004005B3">
        <w:rPr>
          <w:rFonts w:ascii="Times New Roman" w:hAnsi="Times New Roman"/>
          <w:sz w:val="22"/>
          <w:szCs w:val="22"/>
        </w:rPr>
        <w:t>2.</w:t>
      </w:r>
    </w:p>
  </w:footnote>
  <w:footnote w:id="60">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892988" w:rsidRPr="004005B3">
        <w:rPr>
          <w:rFonts w:ascii="Times New Roman" w:hAnsi="Times New Roman"/>
          <w:sz w:val="22"/>
          <w:szCs w:val="22"/>
        </w:rPr>
        <w:tab/>
      </w:r>
      <w:r w:rsidRPr="004005B3">
        <w:rPr>
          <w:rFonts w:ascii="Times New Roman" w:hAnsi="Times New Roman"/>
          <w:i/>
          <w:sz w:val="22"/>
          <w:szCs w:val="22"/>
        </w:rPr>
        <w:t>Ibid.</w:t>
      </w:r>
      <w:r w:rsidR="00892988" w:rsidRPr="004005B3">
        <w:rPr>
          <w:rFonts w:ascii="Times New Roman" w:hAnsi="Times New Roman"/>
          <w:sz w:val="22"/>
          <w:szCs w:val="22"/>
        </w:rPr>
        <w:t>,</w:t>
      </w:r>
      <w:r w:rsidRPr="004005B3">
        <w:rPr>
          <w:rFonts w:ascii="Times New Roman" w:hAnsi="Times New Roman"/>
          <w:sz w:val="22"/>
          <w:szCs w:val="22"/>
        </w:rPr>
        <w:t xml:space="preserve"> p.</w:t>
      </w:r>
      <w:r w:rsidR="00892988" w:rsidRPr="004005B3">
        <w:rPr>
          <w:rFonts w:ascii="Times New Roman" w:hAnsi="Times New Roman"/>
          <w:sz w:val="22"/>
          <w:szCs w:val="22"/>
        </w:rPr>
        <w:t xml:space="preserve"> </w:t>
      </w:r>
      <w:r w:rsidRPr="004005B3">
        <w:rPr>
          <w:rFonts w:ascii="Times New Roman" w:hAnsi="Times New Roman"/>
          <w:sz w:val="22"/>
          <w:szCs w:val="22"/>
        </w:rPr>
        <w:t>3.</w:t>
      </w:r>
    </w:p>
  </w:footnote>
  <w:footnote w:id="61">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275218" w:rsidRPr="004005B3">
        <w:rPr>
          <w:rFonts w:ascii="Times New Roman" w:hAnsi="Times New Roman"/>
          <w:sz w:val="22"/>
          <w:szCs w:val="22"/>
        </w:rPr>
        <w:tab/>
      </w:r>
      <w:r w:rsidRPr="004005B3">
        <w:rPr>
          <w:rFonts w:ascii="Times New Roman" w:hAnsi="Times New Roman"/>
          <w:i/>
          <w:sz w:val="22"/>
          <w:szCs w:val="22"/>
        </w:rPr>
        <w:t>Ibid</w:t>
      </w:r>
      <w:r w:rsidRPr="004005B3">
        <w:rPr>
          <w:rFonts w:ascii="Times New Roman" w:hAnsi="Times New Roman"/>
          <w:sz w:val="22"/>
          <w:szCs w:val="22"/>
        </w:rPr>
        <w:t>.</w:t>
      </w:r>
      <w:r w:rsidR="00275218" w:rsidRPr="004005B3">
        <w:rPr>
          <w:rFonts w:ascii="Times New Roman" w:hAnsi="Times New Roman"/>
          <w:sz w:val="22"/>
          <w:szCs w:val="22"/>
        </w:rPr>
        <w:t>,</w:t>
      </w:r>
      <w:r w:rsidRPr="004005B3">
        <w:rPr>
          <w:rFonts w:ascii="Times New Roman" w:hAnsi="Times New Roman"/>
          <w:sz w:val="22"/>
          <w:szCs w:val="22"/>
        </w:rPr>
        <w:t xml:space="preserve"> p.</w:t>
      </w:r>
      <w:r w:rsidR="00275218" w:rsidRPr="004005B3">
        <w:rPr>
          <w:rFonts w:ascii="Times New Roman" w:hAnsi="Times New Roman"/>
          <w:sz w:val="22"/>
          <w:szCs w:val="22"/>
        </w:rPr>
        <w:t xml:space="preserve"> </w:t>
      </w:r>
      <w:r w:rsidRPr="004005B3">
        <w:rPr>
          <w:rFonts w:ascii="Times New Roman" w:hAnsi="Times New Roman"/>
          <w:sz w:val="22"/>
          <w:szCs w:val="22"/>
        </w:rPr>
        <w:t>6.</w:t>
      </w:r>
    </w:p>
  </w:footnote>
  <w:footnote w:id="62">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275218" w:rsidRPr="004005B3">
        <w:rPr>
          <w:rFonts w:ascii="Times New Roman" w:hAnsi="Times New Roman"/>
          <w:sz w:val="22"/>
          <w:szCs w:val="22"/>
        </w:rPr>
        <w:tab/>
      </w:r>
      <w:r w:rsidRPr="004005B3">
        <w:rPr>
          <w:rFonts w:ascii="Times New Roman" w:hAnsi="Times New Roman"/>
          <w:i/>
          <w:sz w:val="22"/>
          <w:szCs w:val="22"/>
        </w:rPr>
        <w:t>Ibid.</w:t>
      </w:r>
    </w:p>
  </w:footnote>
  <w:footnote w:id="63">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275218" w:rsidRPr="004005B3">
        <w:rPr>
          <w:rFonts w:ascii="Times New Roman" w:hAnsi="Times New Roman"/>
          <w:sz w:val="22"/>
          <w:szCs w:val="22"/>
        </w:rPr>
        <w:tab/>
      </w:r>
      <w:r w:rsidRPr="004005B3">
        <w:rPr>
          <w:rFonts w:ascii="Times New Roman" w:hAnsi="Times New Roman"/>
          <w:sz w:val="22"/>
          <w:szCs w:val="22"/>
        </w:rPr>
        <w:t>Orojo, above</w:t>
      </w:r>
      <w:r w:rsidR="00275218" w:rsidRPr="004005B3">
        <w:rPr>
          <w:rFonts w:ascii="Times New Roman" w:hAnsi="Times New Roman"/>
          <w:sz w:val="22"/>
          <w:szCs w:val="22"/>
        </w:rPr>
        <w:t xml:space="preserve"> note 37 at</w:t>
      </w:r>
      <w:r w:rsidRPr="004005B3">
        <w:rPr>
          <w:rFonts w:ascii="Times New Roman" w:hAnsi="Times New Roman"/>
          <w:sz w:val="22"/>
          <w:szCs w:val="22"/>
        </w:rPr>
        <w:t xml:space="preserve"> pp.</w:t>
      </w:r>
      <w:r w:rsidR="00275218" w:rsidRPr="004005B3">
        <w:rPr>
          <w:rFonts w:ascii="Times New Roman" w:hAnsi="Times New Roman"/>
          <w:sz w:val="22"/>
          <w:szCs w:val="22"/>
        </w:rPr>
        <w:t xml:space="preserve"> </w:t>
      </w:r>
      <w:r w:rsidRPr="004005B3">
        <w:rPr>
          <w:rFonts w:ascii="Times New Roman" w:hAnsi="Times New Roman"/>
          <w:sz w:val="22"/>
          <w:szCs w:val="22"/>
        </w:rPr>
        <w:t>153-154.</w:t>
      </w:r>
    </w:p>
  </w:footnote>
  <w:footnote w:id="64">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275218" w:rsidRPr="004005B3">
        <w:rPr>
          <w:rFonts w:ascii="Times New Roman" w:hAnsi="Times New Roman"/>
          <w:sz w:val="22"/>
          <w:szCs w:val="22"/>
        </w:rPr>
        <w:tab/>
      </w:r>
      <w:r w:rsidRPr="004005B3">
        <w:rPr>
          <w:rFonts w:ascii="Times New Roman" w:hAnsi="Times New Roman"/>
          <w:sz w:val="22"/>
          <w:szCs w:val="22"/>
        </w:rPr>
        <w:t>Abdulrazaq, above note 25</w:t>
      </w:r>
      <w:r w:rsidR="00275218" w:rsidRPr="004005B3">
        <w:rPr>
          <w:rFonts w:ascii="Times New Roman" w:hAnsi="Times New Roman"/>
          <w:sz w:val="22"/>
          <w:szCs w:val="22"/>
        </w:rPr>
        <w:t xml:space="preserve"> at</w:t>
      </w:r>
      <w:r w:rsidRPr="004005B3">
        <w:rPr>
          <w:rFonts w:ascii="Times New Roman" w:hAnsi="Times New Roman"/>
          <w:sz w:val="22"/>
          <w:szCs w:val="22"/>
        </w:rPr>
        <w:t xml:space="preserve"> p.</w:t>
      </w:r>
      <w:r w:rsidR="00275218" w:rsidRPr="004005B3">
        <w:rPr>
          <w:rFonts w:ascii="Times New Roman" w:hAnsi="Times New Roman"/>
          <w:sz w:val="22"/>
          <w:szCs w:val="22"/>
        </w:rPr>
        <w:t xml:space="preserve"> </w:t>
      </w:r>
      <w:r w:rsidRPr="004005B3">
        <w:rPr>
          <w:rFonts w:ascii="Times New Roman" w:hAnsi="Times New Roman"/>
          <w:sz w:val="22"/>
          <w:szCs w:val="22"/>
        </w:rPr>
        <w:t>57.</w:t>
      </w:r>
    </w:p>
  </w:footnote>
  <w:footnote w:id="65">
    <w:p w:rsidR="003453B1" w:rsidRPr="004005B3" w:rsidRDefault="003453B1" w:rsidP="003453B1">
      <w:pPr>
        <w:ind w:left="720" w:hanging="720"/>
        <w:jc w:val="both"/>
        <w:rPr>
          <w:rFonts w:ascii="Times New Roman" w:hAnsi="Times New Roman"/>
        </w:rPr>
      </w:pPr>
      <w:r w:rsidRPr="004005B3">
        <w:rPr>
          <w:rStyle w:val="FootnoteReference"/>
          <w:rFonts w:ascii="Times New Roman" w:hAnsi="Times New Roman"/>
        </w:rPr>
        <w:footnoteRef/>
      </w:r>
      <w:r w:rsidRPr="004005B3">
        <w:rPr>
          <w:rFonts w:ascii="Times New Roman" w:hAnsi="Times New Roman"/>
        </w:rPr>
        <w:t xml:space="preserve"> </w:t>
      </w:r>
      <w:r w:rsidR="00275218" w:rsidRPr="004005B3">
        <w:rPr>
          <w:rFonts w:ascii="Times New Roman" w:hAnsi="Times New Roman"/>
        </w:rPr>
        <w:tab/>
      </w:r>
      <w:r w:rsidRPr="004005B3">
        <w:rPr>
          <w:rFonts w:ascii="Times New Roman" w:hAnsi="Times New Roman"/>
        </w:rPr>
        <w:t>16 TC 200.</w:t>
      </w:r>
    </w:p>
  </w:footnote>
  <w:footnote w:id="66">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275218" w:rsidRPr="004005B3">
        <w:rPr>
          <w:rFonts w:ascii="Times New Roman" w:hAnsi="Times New Roman"/>
          <w:sz w:val="22"/>
          <w:szCs w:val="22"/>
        </w:rPr>
        <w:tab/>
      </w:r>
      <w:r w:rsidRPr="004005B3">
        <w:rPr>
          <w:rFonts w:ascii="Times New Roman" w:hAnsi="Times New Roman"/>
          <w:sz w:val="22"/>
          <w:szCs w:val="22"/>
        </w:rPr>
        <w:t xml:space="preserve">As was held in </w:t>
      </w:r>
      <w:r w:rsidRPr="004005B3">
        <w:rPr>
          <w:rFonts w:ascii="Times New Roman" w:hAnsi="Times New Roman"/>
          <w:i/>
          <w:sz w:val="22"/>
          <w:szCs w:val="22"/>
        </w:rPr>
        <w:t>Dinshaw v Bombay Income Tax Commissioner</w:t>
      </w:r>
      <w:r w:rsidRPr="004005B3">
        <w:rPr>
          <w:rFonts w:ascii="Times New Roman" w:hAnsi="Times New Roman"/>
          <w:sz w:val="22"/>
          <w:szCs w:val="22"/>
        </w:rPr>
        <w:t xml:space="preserve"> 13 ATC, 286.</w:t>
      </w:r>
    </w:p>
  </w:footnote>
  <w:footnote w:id="67">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275218" w:rsidRPr="004005B3">
        <w:rPr>
          <w:rFonts w:ascii="Times New Roman" w:hAnsi="Times New Roman"/>
          <w:sz w:val="22"/>
          <w:szCs w:val="22"/>
        </w:rPr>
        <w:tab/>
      </w:r>
      <w:r w:rsidRPr="004005B3">
        <w:rPr>
          <w:rFonts w:ascii="Times New Roman" w:hAnsi="Times New Roman"/>
          <w:sz w:val="22"/>
          <w:szCs w:val="22"/>
        </w:rPr>
        <w:t xml:space="preserve">26 TC 166. </w:t>
      </w:r>
    </w:p>
  </w:footnote>
  <w:footnote w:id="68">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275218" w:rsidRPr="004005B3">
        <w:rPr>
          <w:rFonts w:ascii="Times New Roman" w:hAnsi="Times New Roman"/>
          <w:sz w:val="22"/>
          <w:szCs w:val="22"/>
        </w:rPr>
        <w:tab/>
      </w:r>
      <w:r w:rsidRPr="004005B3">
        <w:rPr>
          <w:rFonts w:ascii="Times New Roman" w:hAnsi="Times New Roman"/>
          <w:sz w:val="22"/>
          <w:szCs w:val="22"/>
        </w:rPr>
        <w:t xml:space="preserve">of </w:t>
      </w:r>
      <w:r w:rsidRPr="004005B3">
        <w:rPr>
          <w:rFonts w:ascii="Times New Roman" w:hAnsi="Times New Roman"/>
          <w:i/>
          <w:sz w:val="22"/>
          <w:szCs w:val="22"/>
        </w:rPr>
        <w:t>Bristow v William Dickinson &amp; Co</w:t>
      </w:r>
      <w:r w:rsidRPr="004005B3">
        <w:rPr>
          <w:rFonts w:ascii="Times New Roman" w:hAnsi="Times New Roman"/>
          <w:sz w:val="22"/>
          <w:szCs w:val="22"/>
        </w:rPr>
        <w:t>. 27 TC 157</w:t>
      </w:r>
      <w:r w:rsidR="00275218" w:rsidRPr="004005B3">
        <w:rPr>
          <w:rFonts w:ascii="Times New Roman" w:hAnsi="Times New Roman"/>
          <w:sz w:val="22"/>
          <w:szCs w:val="22"/>
        </w:rPr>
        <w:t>.</w:t>
      </w:r>
    </w:p>
  </w:footnote>
  <w:footnote w:id="69">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00275218" w:rsidRPr="004005B3">
        <w:rPr>
          <w:rFonts w:ascii="Times New Roman" w:hAnsi="Times New Roman"/>
          <w:sz w:val="22"/>
          <w:szCs w:val="22"/>
        </w:rPr>
        <w:t xml:space="preserve"> </w:t>
      </w:r>
      <w:r w:rsidR="00275218" w:rsidRPr="004005B3">
        <w:rPr>
          <w:rFonts w:ascii="Times New Roman" w:hAnsi="Times New Roman"/>
          <w:sz w:val="22"/>
          <w:szCs w:val="22"/>
        </w:rPr>
        <w:tab/>
      </w:r>
      <w:r w:rsidRPr="004005B3">
        <w:rPr>
          <w:rFonts w:ascii="Times New Roman" w:hAnsi="Times New Roman"/>
          <w:sz w:val="22"/>
          <w:szCs w:val="22"/>
        </w:rPr>
        <w:t>Abdulrazaq, above</w:t>
      </w:r>
      <w:r w:rsidR="00275218" w:rsidRPr="004005B3">
        <w:rPr>
          <w:rFonts w:ascii="Times New Roman" w:hAnsi="Times New Roman"/>
          <w:sz w:val="22"/>
          <w:szCs w:val="22"/>
        </w:rPr>
        <w:t xml:space="preserve"> </w:t>
      </w:r>
      <w:r w:rsidRPr="004005B3">
        <w:rPr>
          <w:rFonts w:ascii="Times New Roman" w:hAnsi="Times New Roman"/>
          <w:sz w:val="22"/>
          <w:szCs w:val="22"/>
        </w:rPr>
        <w:t>note 25</w:t>
      </w:r>
      <w:r w:rsidR="00275218" w:rsidRPr="004005B3">
        <w:rPr>
          <w:rFonts w:ascii="Times New Roman" w:hAnsi="Times New Roman"/>
          <w:sz w:val="22"/>
          <w:szCs w:val="22"/>
        </w:rPr>
        <w:t xml:space="preserve"> at</w:t>
      </w:r>
      <w:r w:rsidRPr="004005B3">
        <w:rPr>
          <w:rFonts w:ascii="Times New Roman" w:hAnsi="Times New Roman"/>
          <w:sz w:val="22"/>
          <w:szCs w:val="22"/>
        </w:rPr>
        <w:t xml:space="preserve"> p.</w:t>
      </w:r>
      <w:r w:rsidR="00275218" w:rsidRPr="004005B3">
        <w:rPr>
          <w:rFonts w:ascii="Times New Roman" w:hAnsi="Times New Roman"/>
          <w:sz w:val="22"/>
          <w:szCs w:val="22"/>
        </w:rPr>
        <w:t xml:space="preserve"> </w:t>
      </w:r>
      <w:r w:rsidRPr="004005B3">
        <w:rPr>
          <w:rFonts w:ascii="Times New Roman" w:hAnsi="Times New Roman"/>
          <w:sz w:val="22"/>
          <w:szCs w:val="22"/>
        </w:rPr>
        <w:t xml:space="preserve">59. See also, Christopher, </w:t>
      </w:r>
      <w:r w:rsidRPr="004005B3">
        <w:rPr>
          <w:rFonts w:ascii="Times New Roman" w:hAnsi="Times New Roman"/>
          <w:i/>
          <w:sz w:val="22"/>
          <w:szCs w:val="22"/>
        </w:rPr>
        <w:t>et al</w:t>
      </w:r>
      <w:r w:rsidRPr="004005B3">
        <w:rPr>
          <w:rFonts w:ascii="Times New Roman" w:hAnsi="Times New Roman"/>
          <w:sz w:val="22"/>
          <w:szCs w:val="22"/>
        </w:rPr>
        <w:t>. above note 10</w:t>
      </w:r>
      <w:r w:rsidR="00275218" w:rsidRPr="004005B3">
        <w:rPr>
          <w:rFonts w:ascii="Times New Roman" w:hAnsi="Times New Roman"/>
          <w:sz w:val="22"/>
          <w:szCs w:val="22"/>
        </w:rPr>
        <w:t xml:space="preserve"> at</w:t>
      </w:r>
      <w:r w:rsidRPr="004005B3">
        <w:rPr>
          <w:rFonts w:ascii="Times New Roman" w:hAnsi="Times New Roman"/>
          <w:sz w:val="22"/>
          <w:szCs w:val="22"/>
        </w:rPr>
        <w:t xml:space="preserve"> p.</w:t>
      </w:r>
      <w:r w:rsidR="00275218" w:rsidRPr="004005B3">
        <w:rPr>
          <w:rFonts w:ascii="Times New Roman" w:hAnsi="Times New Roman"/>
          <w:sz w:val="22"/>
          <w:szCs w:val="22"/>
        </w:rPr>
        <w:t xml:space="preserve"> </w:t>
      </w:r>
      <w:r w:rsidRPr="004005B3">
        <w:rPr>
          <w:rFonts w:ascii="Times New Roman" w:hAnsi="Times New Roman"/>
          <w:sz w:val="22"/>
          <w:szCs w:val="22"/>
        </w:rPr>
        <w:t>43</w:t>
      </w:r>
      <w:r w:rsidR="00275218" w:rsidRPr="004005B3">
        <w:rPr>
          <w:rFonts w:ascii="Times New Roman" w:hAnsi="Times New Roman"/>
          <w:sz w:val="22"/>
          <w:szCs w:val="22"/>
        </w:rPr>
        <w:t>.</w:t>
      </w:r>
    </w:p>
  </w:footnote>
  <w:footnote w:id="70">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7D294D" w:rsidRPr="004005B3">
        <w:rPr>
          <w:rFonts w:ascii="Times New Roman" w:hAnsi="Times New Roman"/>
          <w:sz w:val="22"/>
          <w:szCs w:val="22"/>
        </w:rPr>
        <w:tab/>
      </w:r>
      <w:r w:rsidRPr="004005B3">
        <w:rPr>
          <w:rFonts w:ascii="Times New Roman" w:hAnsi="Times New Roman"/>
          <w:i/>
          <w:sz w:val="22"/>
          <w:szCs w:val="22"/>
        </w:rPr>
        <w:t>The Nigerian Tribune</w:t>
      </w:r>
      <w:r w:rsidRPr="004005B3">
        <w:rPr>
          <w:rFonts w:ascii="Times New Roman" w:hAnsi="Times New Roman"/>
          <w:sz w:val="22"/>
          <w:szCs w:val="22"/>
        </w:rPr>
        <w:t xml:space="preserve"> (Nigeria), November 29, 2011, p.</w:t>
      </w:r>
      <w:r w:rsidR="007D294D" w:rsidRPr="004005B3">
        <w:rPr>
          <w:rFonts w:ascii="Times New Roman" w:hAnsi="Times New Roman"/>
          <w:sz w:val="22"/>
          <w:szCs w:val="22"/>
        </w:rPr>
        <w:t xml:space="preserve"> </w:t>
      </w:r>
      <w:r w:rsidRPr="004005B3">
        <w:rPr>
          <w:rFonts w:ascii="Times New Roman" w:hAnsi="Times New Roman"/>
          <w:sz w:val="22"/>
          <w:szCs w:val="22"/>
        </w:rPr>
        <w:t xml:space="preserve">1. See also, </w:t>
      </w:r>
      <w:r w:rsidRPr="004005B3">
        <w:rPr>
          <w:rFonts w:ascii="Times New Roman" w:hAnsi="Times New Roman"/>
          <w:i/>
          <w:sz w:val="22"/>
          <w:szCs w:val="22"/>
        </w:rPr>
        <w:t>The Sun</w:t>
      </w:r>
      <w:r w:rsidRPr="004005B3">
        <w:rPr>
          <w:rFonts w:ascii="Times New Roman" w:hAnsi="Times New Roman"/>
          <w:sz w:val="22"/>
          <w:szCs w:val="22"/>
        </w:rPr>
        <w:t xml:space="preserve"> Newspaper (Nigeria), of the same date.</w:t>
      </w:r>
    </w:p>
  </w:footnote>
  <w:footnote w:id="71">
    <w:p w:rsidR="003453B1" w:rsidRPr="004005B3" w:rsidRDefault="003453B1" w:rsidP="003453B1">
      <w:pPr>
        <w:pStyle w:val="FootnoteText"/>
        <w:ind w:left="720" w:hanging="720"/>
        <w:jc w:val="both"/>
        <w:rPr>
          <w:rFonts w:ascii="Times New Roman" w:hAnsi="Times New Roman"/>
          <w:sz w:val="22"/>
          <w:szCs w:val="22"/>
        </w:rPr>
      </w:pPr>
      <w:r w:rsidRPr="004005B3">
        <w:rPr>
          <w:rStyle w:val="FootnoteReference"/>
          <w:rFonts w:ascii="Times New Roman" w:hAnsi="Times New Roman"/>
          <w:sz w:val="22"/>
          <w:szCs w:val="22"/>
        </w:rPr>
        <w:footnoteRef/>
      </w:r>
      <w:r w:rsidRPr="004005B3">
        <w:rPr>
          <w:rFonts w:ascii="Times New Roman" w:hAnsi="Times New Roman"/>
          <w:sz w:val="22"/>
          <w:szCs w:val="22"/>
        </w:rPr>
        <w:t xml:space="preserve"> </w:t>
      </w:r>
      <w:r w:rsidR="007D294D" w:rsidRPr="004005B3">
        <w:rPr>
          <w:rFonts w:ascii="Times New Roman" w:hAnsi="Times New Roman"/>
          <w:sz w:val="22"/>
          <w:szCs w:val="22"/>
        </w:rPr>
        <w:tab/>
      </w:r>
      <w:r w:rsidRPr="004005B3">
        <w:rPr>
          <w:rFonts w:ascii="Times New Roman" w:hAnsi="Times New Roman"/>
          <w:sz w:val="22"/>
          <w:szCs w:val="22"/>
        </w:rPr>
        <w:t>See, CBN Prudential Guidelines For Deposit Money Banks In Nigeria, May, 2010 &lt;</w:t>
      </w:r>
      <w:hyperlink r:id="rId4" w:history="1">
        <w:r w:rsidR="007D294D" w:rsidRPr="004005B3">
          <w:rPr>
            <w:rStyle w:val="Hyperlink"/>
            <w:rFonts w:ascii="Times New Roman" w:hAnsi="Times New Roman"/>
            <w:color w:val="auto"/>
            <w:sz w:val="22"/>
            <w:szCs w:val="22"/>
            <w:u w:val="none"/>
          </w:rPr>
          <w:t>http://ndic.org.ng/files/Prudential%20 Guide lines% 205%20May%202010%20Final.pdf</w:t>
        </w:r>
      </w:hyperlink>
      <w:r w:rsidRPr="004005B3">
        <w:rPr>
          <w:rFonts w:ascii="Times New Roman" w:hAnsi="Times New Roman"/>
          <w:sz w:val="22"/>
          <w:szCs w:val="22"/>
        </w:rPr>
        <w:t>&gt; accessed on 23</w:t>
      </w:r>
      <w:r w:rsidRPr="004005B3">
        <w:rPr>
          <w:rFonts w:ascii="Times New Roman" w:hAnsi="Times New Roman"/>
          <w:sz w:val="22"/>
          <w:szCs w:val="22"/>
          <w:vertAlign w:val="superscript"/>
        </w:rPr>
        <w:t>rd</w:t>
      </w:r>
      <w:r w:rsidRPr="004005B3">
        <w:rPr>
          <w:rFonts w:ascii="Times New Roman" w:hAnsi="Times New Roman"/>
          <w:sz w:val="22"/>
          <w:szCs w:val="22"/>
        </w:rPr>
        <w:t xml:space="preserve"> May, 2014</w:t>
      </w:r>
      <w:r w:rsidR="007D294D" w:rsidRPr="004005B3">
        <w:rPr>
          <w:rFonts w:ascii="Times New Roman" w:hAnsi="Times New Roman"/>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A28" w:rsidRPr="00D8149F" w:rsidRDefault="00C55CB9">
    <w:pPr>
      <w:pStyle w:val="Header"/>
      <w:pBdr>
        <w:bottom w:val="single" w:sz="4" w:space="1" w:color="D9D9D9"/>
      </w:pBdr>
      <w:rPr>
        <w:rFonts w:ascii="Tahoma" w:hAnsi="Tahoma" w:cs="Tahoma"/>
      </w:rPr>
    </w:pPr>
  </w:p>
  <w:p w:rsidR="004D4A28" w:rsidRPr="00D8149F" w:rsidRDefault="00C55CB9">
    <w:pPr>
      <w:pStyle w:val="Header"/>
      <w:pBdr>
        <w:bottom w:val="single" w:sz="4" w:space="1" w:color="D9D9D9"/>
      </w:pBdr>
      <w:rPr>
        <w:rFonts w:ascii="Tahoma" w:hAnsi="Tahoma" w:cs="Tahoma"/>
      </w:rPr>
    </w:pPr>
  </w:p>
  <w:p w:rsidR="004D4A28" w:rsidRDefault="00C55CB9" w:rsidP="00F71A70">
    <w:pPr>
      <w:pStyle w:val="Header"/>
      <w:pBdr>
        <w:bottom w:val="single" w:sz="4" w:space="1" w:color="D9D9D9"/>
      </w:pBdr>
      <w:ind w:left="720" w:hanging="720"/>
      <w:jc w:val="both"/>
      <w:rPr>
        <w:rFonts w:ascii="Tahoma" w:hAnsi="Tahoma" w:cs="Tahoma"/>
        <w:b/>
        <w:sz w:val="12"/>
        <w:szCs w:val="12"/>
      </w:rPr>
    </w:pPr>
  </w:p>
  <w:p w:rsidR="004D4A28" w:rsidRDefault="00C55CB9" w:rsidP="00F71A70">
    <w:pPr>
      <w:pStyle w:val="Header"/>
      <w:pBdr>
        <w:bottom w:val="single" w:sz="4" w:space="1" w:color="D9D9D9"/>
      </w:pBdr>
      <w:ind w:left="720" w:hanging="720"/>
      <w:jc w:val="both"/>
      <w:rPr>
        <w:rFonts w:ascii="Tahoma" w:hAnsi="Tahoma" w:cs="Tahoma"/>
        <w:b/>
        <w:sz w:val="16"/>
        <w:szCs w:val="16"/>
      </w:rPr>
    </w:pPr>
  </w:p>
  <w:p w:rsidR="004D4A28" w:rsidRPr="0056445D" w:rsidRDefault="005D0842" w:rsidP="00F71A70">
    <w:pPr>
      <w:pStyle w:val="Header"/>
      <w:pBdr>
        <w:bottom w:val="single" w:sz="4" w:space="1" w:color="D9D9D9"/>
      </w:pBdr>
      <w:ind w:left="360" w:hanging="360"/>
      <w:jc w:val="both"/>
      <w:rPr>
        <w:rFonts w:ascii="Times New Roman" w:hAnsi="Times New Roman"/>
        <w:b/>
        <w:sz w:val="16"/>
        <w:szCs w:val="16"/>
      </w:rPr>
    </w:pPr>
    <w:r w:rsidRPr="00F12D2E">
      <w:rPr>
        <w:rFonts w:ascii="Times New Roman" w:hAnsi="Times New Roman"/>
        <w:b/>
        <w:sz w:val="18"/>
        <w:szCs w:val="18"/>
      </w:rPr>
      <w:fldChar w:fldCharType="begin"/>
    </w:r>
    <w:r w:rsidR="00103F67" w:rsidRPr="00F12D2E">
      <w:rPr>
        <w:rFonts w:ascii="Times New Roman" w:hAnsi="Times New Roman"/>
        <w:b/>
        <w:sz w:val="18"/>
        <w:szCs w:val="18"/>
      </w:rPr>
      <w:instrText xml:space="preserve"> PAGE   \* MERGEFORMAT </w:instrText>
    </w:r>
    <w:r w:rsidRPr="00F12D2E">
      <w:rPr>
        <w:rFonts w:ascii="Times New Roman" w:hAnsi="Times New Roman"/>
        <w:b/>
        <w:sz w:val="18"/>
        <w:szCs w:val="18"/>
      </w:rPr>
      <w:fldChar w:fldCharType="separate"/>
    </w:r>
    <w:r w:rsidR="00401D7F">
      <w:rPr>
        <w:rFonts w:ascii="Times New Roman" w:hAnsi="Times New Roman"/>
        <w:b/>
        <w:noProof/>
        <w:sz w:val="18"/>
        <w:szCs w:val="18"/>
      </w:rPr>
      <w:t>122</w:t>
    </w:r>
    <w:r w:rsidRPr="00F12D2E">
      <w:rPr>
        <w:rFonts w:ascii="Times New Roman" w:hAnsi="Times New Roman"/>
        <w:b/>
        <w:sz w:val="18"/>
        <w:szCs w:val="18"/>
      </w:rPr>
      <w:fldChar w:fldCharType="end"/>
    </w:r>
    <w:r w:rsidR="00103F67" w:rsidRPr="0056445D">
      <w:rPr>
        <w:rFonts w:ascii="Times New Roman" w:hAnsi="Times New Roman"/>
        <w:b/>
        <w:sz w:val="16"/>
        <w:szCs w:val="16"/>
      </w:rPr>
      <w:t xml:space="preserve">| </w:t>
    </w:r>
    <w:r w:rsidR="00103F67" w:rsidRPr="0056445D">
      <w:rPr>
        <w:rFonts w:ascii="Times New Roman" w:hAnsi="Times New Roman"/>
        <w:b/>
        <w:sz w:val="16"/>
        <w:szCs w:val="16"/>
      </w:rPr>
      <w:tab/>
      <w:t>Vol.</w:t>
    </w:r>
    <w:r w:rsidR="00103F67">
      <w:rPr>
        <w:rFonts w:ascii="Times New Roman" w:hAnsi="Times New Roman"/>
        <w:b/>
        <w:sz w:val="16"/>
        <w:szCs w:val="16"/>
      </w:rPr>
      <w:t xml:space="preserve"> </w:t>
    </w:r>
    <w:r w:rsidR="00CB4DF7">
      <w:rPr>
        <w:rFonts w:ascii="Times New Roman" w:hAnsi="Times New Roman"/>
        <w:b/>
        <w:sz w:val="16"/>
        <w:szCs w:val="16"/>
      </w:rPr>
      <w:t>7</w:t>
    </w:r>
    <w:r w:rsidR="00103F67">
      <w:rPr>
        <w:rFonts w:ascii="Times New Roman" w:hAnsi="Times New Roman"/>
        <w:b/>
        <w:sz w:val="16"/>
        <w:szCs w:val="16"/>
      </w:rPr>
      <w:t>, 201</w:t>
    </w:r>
    <w:r w:rsidR="00CB4DF7">
      <w:rPr>
        <w:rFonts w:ascii="Times New Roman" w:hAnsi="Times New Roman"/>
        <w:b/>
        <w:sz w:val="16"/>
        <w:szCs w:val="16"/>
      </w:rPr>
      <w:t>4</w:t>
    </w:r>
    <w:r w:rsidR="00103F67">
      <w:rPr>
        <w:rFonts w:ascii="Times New Roman" w:hAnsi="Times New Roman"/>
        <w:b/>
        <w:sz w:val="16"/>
        <w:szCs w:val="16"/>
      </w:rPr>
      <w:t xml:space="preserve">: </w:t>
    </w:r>
    <w:r w:rsidR="00103F67" w:rsidRPr="00727AD4">
      <w:rPr>
        <w:rFonts w:ascii="Times New Roman" w:hAnsi="Times New Roman"/>
        <w:b/>
        <w:i/>
        <w:sz w:val="16"/>
        <w:szCs w:val="16"/>
      </w:rPr>
      <w:t>Law and Policy Review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A28" w:rsidRPr="007C368A" w:rsidRDefault="00C55CB9" w:rsidP="009D00BB">
    <w:pPr>
      <w:tabs>
        <w:tab w:val="left" w:pos="720"/>
      </w:tabs>
      <w:spacing w:line="288" w:lineRule="auto"/>
      <w:ind w:left="720" w:hanging="720"/>
      <w:jc w:val="both"/>
      <w:rPr>
        <w:rFonts w:ascii="Tahoma" w:hAnsi="Tahoma" w:cs="Tahoma"/>
        <w:sz w:val="20"/>
        <w:szCs w:val="20"/>
      </w:rPr>
    </w:pPr>
  </w:p>
  <w:p w:rsidR="004D4A28" w:rsidRDefault="00C55CB9" w:rsidP="00F71A70">
    <w:pPr>
      <w:jc w:val="both"/>
      <w:rPr>
        <w:rFonts w:ascii="Tahoma" w:hAnsi="Tahoma" w:cs="Tahoma"/>
        <w:b/>
        <w:sz w:val="20"/>
        <w:szCs w:val="20"/>
      </w:rPr>
    </w:pPr>
  </w:p>
  <w:p w:rsidR="00CB4DF7" w:rsidRPr="003453B1" w:rsidRDefault="005D0842" w:rsidP="00CB4DF7">
    <w:pPr>
      <w:spacing w:after="0" w:line="240" w:lineRule="auto"/>
      <w:ind w:left="720" w:hanging="720"/>
      <w:jc w:val="both"/>
      <w:rPr>
        <w:rFonts w:ascii="Times New Roman" w:hAnsi="Times New Roman"/>
        <w:b/>
        <w:sz w:val="26"/>
        <w:szCs w:val="26"/>
      </w:rPr>
    </w:pPr>
    <w:r w:rsidRPr="009F4369">
      <w:rPr>
        <w:rFonts w:ascii="Tahoma" w:hAnsi="Tahoma" w:cs="Tahoma"/>
        <w:b/>
        <w:sz w:val="16"/>
        <w:szCs w:val="16"/>
      </w:rPr>
      <w:fldChar w:fldCharType="begin"/>
    </w:r>
    <w:r w:rsidR="00103F67" w:rsidRPr="009F4369">
      <w:rPr>
        <w:rFonts w:ascii="Tahoma" w:hAnsi="Tahoma" w:cs="Tahoma"/>
        <w:b/>
        <w:sz w:val="16"/>
        <w:szCs w:val="16"/>
      </w:rPr>
      <w:instrText xml:space="preserve"> PAGE   \* MERGEFORMAT </w:instrText>
    </w:r>
    <w:r w:rsidRPr="009F4369">
      <w:rPr>
        <w:rFonts w:ascii="Tahoma" w:hAnsi="Tahoma" w:cs="Tahoma"/>
        <w:b/>
        <w:sz w:val="16"/>
        <w:szCs w:val="16"/>
      </w:rPr>
      <w:fldChar w:fldCharType="separate"/>
    </w:r>
    <w:r w:rsidR="00401D7F">
      <w:rPr>
        <w:rFonts w:ascii="Tahoma" w:hAnsi="Tahoma" w:cs="Tahoma"/>
        <w:b/>
        <w:noProof/>
        <w:sz w:val="16"/>
        <w:szCs w:val="16"/>
      </w:rPr>
      <w:t>99</w:t>
    </w:r>
    <w:r w:rsidRPr="009F4369">
      <w:rPr>
        <w:rFonts w:ascii="Tahoma" w:hAnsi="Tahoma" w:cs="Tahoma"/>
        <w:b/>
        <w:sz w:val="16"/>
        <w:szCs w:val="16"/>
      </w:rPr>
      <w:fldChar w:fldCharType="end"/>
    </w:r>
    <w:r w:rsidR="00103F67" w:rsidRPr="007D0B11">
      <w:rPr>
        <w:rFonts w:ascii="Tahoma" w:hAnsi="Tahoma" w:cs="Tahoma"/>
        <w:sz w:val="18"/>
        <w:szCs w:val="18"/>
      </w:rPr>
      <w:t xml:space="preserve"> |</w:t>
    </w:r>
    <w:r w:rsidR="00103F67" w:rsidRPr="007D0B11">
      <w:rPr>
        <w:rFonts w:ascii="Times New Roman" w:hAnsi="Times New Roman"/>
        <w:b/>
        <w:sz w:val="18"/>
        <w:szCs w:val="18"/>
      </w:rPr>
      <w:t xml:space="preserve"> </w:t>
    </w:r>
    <w:r w:rsidR="00CB4DF7" w:rsidRPr="00CB4DF7">
      <w:rPr>
        <w:rFonts w:ascii="Times New Roman" w:hAnsi="Times New Roman"/>
        <w:b/>
        <w:sz w:val="16"/>
        <w:szCs w:val="16"/>
      </w:rPr>
      <w:t>S.M. Olokooba: Contending Issues on Bank Taxable Profits, Loss and Bad Debt in the Nigerian Banking Sector: An Appraisal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E0332"/>
    <w:multiLevelType w:val="hybridMultilevel"/>
    <w:tmpl w:val="377E2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DB3EBD"/>
    <w:multiLevelType w:val="multilevel"/>
    <w:tmpl w:val="04B60538"/>
    <w:lvl w:ilvl="0">
      <w:start w:val="3"/>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2">
    <w:nsid w:val="4F3C6C0C"/>
    <w:multiLevelType w:val="multilevel"/>
    <w:tmpl w:val="F6305A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E4F1862"/>
    <w:multiLevelType w:val="hybridMultilevel"/>
    <w:tmpl w:val="72E8C504"/>
    <w:lvl w:ilvl="0" w:tplc="0B6EBC82">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3B1"/>
    <w:rsid w:val="00017961"/>
    <w:rsid w:val="00046CF4"/>
    <w:rsid w:val="00071687"/>
    <w:rsid w:val="00085184"/>
    <w:rsid w:val="000A5E64"/>
    <w:rsid w:val="00103F67"/>
    <w:rsid w:val="00147128"/>
    <w:rsid w:val="00180931"/>
    <w:rsid w:val="001B5034"/>
    <w:rsid w:val="00223770"/>
    <w:rsid w:val="00226F90"/>
    <w:rsid w:val="00250978"/>
    <w:rsid w:val="00275218"/>
    <w:rsid w:val="002A2F42"/>
    <w:rsid w:val="003453B1"/>
    <w:rsid w:val="00372ED9"/>
    <w:rsid w:val="00387942"/>
    <w:rsid w:val="003B3F66"/>
    <w:rsid w:val="003E0905"/>
    <w:rsid w:val="004005B3"/>
    <w:rsid w:val="00401D7F"/>
    <w:rsid w:val="0040665F"/>
    <w:rsid w:val="00442E70"/>
    <w:rsid w:val="004506E8"/>
    <w:rsid w:val="004658B5"/>
    <w:rsid w:val="00467B12"/>
    <w:rsid w:val="0049011C"/>
    <w:rsid w:val="00597F38"/>
    <w:rsid w:val="005B68E3"/>
    <w:rsid w:val="005D0842"/>
    <w:rsid w:val="005D2479"/>
    <w:rsid w:val="006515C1"/>
    <w:rsid w:val="00665720"/>
    <w:rsid w:val="00671DD8"/>
    <w:rsid w:val="006E377C"/>
    <w:rsid w:val="007147FB"/>
    <w:rsid w:val="00771553"/>
    <w:rsid w:val="0078743C"/>
    <w:rsid w:val="007C75C5"/>
    <w:rsid w:val="007D294D"/>
    <w:rsid w:val="007D2BAE"/>
    <w:rsid w:val="00873EA5"/>
    <w:rsid w:val="00881BC3"/>
    <w:rsid w:val="00892988"/>
    <w:rsid w:val="0089298A"/>
    <w:rsid w:val="008A4304"/>
    <w:rsid w:val="009D0A2E"/>
    <w:rsid w:val="00A74FBD"/>
    <w:rsid w:val="00AA17F1"/>
    <w:rsid w:val="00AC623E"/>
    <w:rsid w:val="00B83AD1"/>
    <w:rsid w:val="00BA38A5"/>
    <w:rsid w:val="00C55CB9"/>
    <w:rsid w:val="00C66DC7"/>
    <w:rsid w:val="00CB4DF7"/>
    <w:rsid w:val="00CE64E1"/>
    <w:rsid w:val="00D87393"/>
    <w:rsid w:val="00E109BD"/>
    <w:rsid w:val="00F650A3"/>
    <w:rsid w:val="00F83E4F"/>
    <w:rsid w:val="00F85F3F"/>
    <w:rsid w:val="00F87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A1D266-D3D0-41A7-9867-3B38960CC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3B1"/>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3B1"/>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3453B1"/>
    <w:rPr>
      <w:rFonts w:ascii="Calibri" w:eastAsia="Calibri" w:hAnsi="Calibri" w:cs="Times New Roman"/>
      <w:sz w:val="20"/>
      <w:szCs w:val="20"/>
      <w:lang w:val="en-GB"/>
    </w:rPr>
  </w:style>
  <w:style w:type="paragraph" w:styleId="FootnoteText">
    <w:name w:val="footnote text"/>
    <w:aliases w:val="Char"/>
    <w:basedOn w:val="Normal"/>
    <w:link w:val="FootnoteTextChar"/>
    <w:unhideWhenUsed/>
    <w:rsid w:val="003453B1"/>
    <w:pPr>
      <w:spacing w:after="0" w:line="240" w:lineRule="auto"/>
    </w:pPr>
    <w:rPr>
      <w:sz w:val="20"/>
      <w:szCs w:val="20"/>
    </w:rPr>
  </w:style>
  <w:style w:type="character" w:customStyle="1" w:styleId="FootnoteTextChar">
    <w:name w:val="Footnote Text Char"/>
    <w:aliases w:val="Char Char"/>
    <w:basedOn w:val="DefaultParagraphFont"/>
    <w:link w:val="FootnoteText"/>
    <w:rsid w:val="003453B1"/>
    <w:rPr>
      <w:rFonts w:ascii="Calibri" w:eastAsia="Calibri" w:hAnsi="Calibri" w:cs="Times New Roman"/>
      <w:sz w:val="20"/>
      <w:szCs w:val="20"/>
      <w:lang w:val="en-GB"/>
    </w:rPr>
  </w:style>
  <w:style w:type="character" w:styleId="FootnoteReference">
    <w:name w:val="footnote reference"/>
    <w:basedOn w:val="DefaultParagraphFont"/>
    <w:unhideWhenUsed/>
    <w:rsid w:val="003453B1"/>
    <w:rPr>
      <w:vertAlign w:val="superscript"/>
    </w:rPr>
  </w:style>
  <w:style w:type="paragraph" w:styleId="NoSpacing">
    <w:name w:val="No Spacing"/>
    <w:uiPriority w:val="1"/>
    <w:qFormat/>
    <w:rsid w:val="003453B1"/>
    <w:pPr>
      <w:spacing w:after="0" w:line="240" w:lineRule="auto"/>
    </w:pPr>
    <w:rPr>
      <w:rFonts w:ascii="Calibri" w:eastAsia="Calibri" w:hAnsi="Calibri" w:cs="Times New Roman"/>
    </w:rPr>
  </w:style>
  <w:style w:type="paragraph" w:styleId="ListParagraph">
    <w:name w:val="List Paragraph"/>
    <w:basedOn w:val="Normal"/>
    <w:uiPriority w:val="34"/>
    <w:qFormat/>
    <w:rsid w:val="003453B1"/>
    <w:pPr>
      <w:ind w:left="720"/>
      <w:contextualSpacing/>
    </w:pPr>
  </w:style>
  <w:style w:type="character" w:styleId="Hyperlink">
    <w:name w:val="Hyperlink"/>
    <w:basedOn w:val="DefaultParagraphFont"/>
    <w:uiPriority w:val="99"/>
    <w:rsid w:val="003453B1"/>
    <w:rPr>
      <w:color w:val="0000FF"/>
      <w:u w:val="single"/>
    </w:rPr>
  </w:style>
  <w:style w:type="character" w:styleId="CommentReference">
    <w:name w:val="annotation reference"/>
    <w:basedOn w:val="DefaultParagraphFont"/>
    <w:uiPriority w:val="99"/>
    <w:semiHidden/>
    <w:unhideWhenUsed/>
    <w:rsid w:val="003453B1"/>
    <w:rPr>
      <w:sz w:val="16"/>
      <w:szCs w:val="16"/>
    </w:rPr>
  </w:style>
  <w:style w:type="paragraph" w:styleId="Footer">
    <w:name w:val="footer"/>
    <w:basedOn w:val="Normal"/>
    <w:link w:val="FooterChar"/>
    <w:uiPriority w:val="99"/>
    <w:semiHidden/>
    <w:unhideWhenUsed/>
    <w:rsid w:val="00CB4DF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B4DF7"/>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ndic.org.ng/files/Prudential%20%20Guide%20lines%205%25%2020May%202010%20Final.pdf" TargetMode="External"/><Relationship Id="rId2" Type="http://schemas.openxmlformats.org/officeDocument/2006/relationships/hyperlink" Target="http://siteresources.worldbank.org/INTFR/Resources/Sunley_BadDebts.pdf%3e." TargetMode="External"/><Relationship Id="rId1" Type="http://schemas.openxmlformats.org/officeDocument/2006/relationships/hyperlink" Target="mailto:sakaskydlaw2002@gmail.com" TargetMode="External"/><Relationship Id="rId4" Type="http://schemas.openxmlformats.org/officeDocument/2006/relationships/hyperlink" Target="http://ndic.org.ng/files/Prudential%20%20Guide%20lines%25%20205%20May%202010%20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5329</Words>
  <Characters>30381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BARRISTER BENSON</dc:creator>
  <cp:lastModifiedBy>hi</cp:lastModifiedBy>
  <cp:revision>2</cp:revision>
  <cp:lastPrinted>2014-06-11T22:37:00Z</cp:lastPrinted>
  <dcterms:created xsi:type="dcterms:W3CDTF">2025-12-20T16:13:00Z</dcterms:created>
  <dcterms:modified xsi:type="dcterms:W3CDTF">2025-12-20T16:13:00Z</dcterms:modified>
</cp:coreProperties>
</file>